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6887B" w14:textId="28590947" w:rsidR="00697C7A" w:rsidRPr="00D87CB8" w:rsidRDefault="00D87CB8">
      <w:pPr>
        <w:rPr>
          <w:b/>
          <w:bCs/>
          <w:u w:val="single"/>
        </w:rPr>
      </w:pPr>
      <w:r w:rsidRPr="00D87CB8">
        <w:rPr>
          <w:b/>
          <w:bCs/>
          <w:u w:val="single"/>
        </w:rPr>
        <w:t>Übersicht der Anpassungen im Konzepthandbuch zu den Arbeitsphilosophien</w:t>
      </w:r>
    </w:p>
    <w:p w14:paraId="0E2CE92A" w14:textId="77777777" w:rsidR="00D87CB8" w:rsidRDefault="00D87CB8"/>
    <w:tbl>
      <w:tblPr>
        <w:tblStyle w:val="Gitternetztabelle5dunkelAkzent3"/>
        <w:tblW w:w="4953" w:type="pct"/>
        <w:tblLook w:val="04A0" w:firstRow="1" w:lastRow="0" w:firstColumn="1" w:lastColumn="0" w:noHBand="0" w:noVBand="1"/>
      </w:tblPr>
      <w:tblGrid>
        <w:gridCol w:w="1753"/>
        <w:gridCol w:w="2249"/>
        <w:gridCol w:w="5069"/>
        <w:gridCol w:w="5072"/>
      </w:tblGrid>
      <w:tr w:rsidR="00D87CB8" w:rsidRPr="00F00F2F" w14:paraId="7E0938B4" w14:textId="77777777" w:rsidTr="00D16F4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20" w:type="pct"/>
          </w:tcPr>
          <w:p w14:paraId="410E45E5" w14:textId="77777777" w:rsidR="00D87CB8" w:rsidRPr="00F00F2F" w:rsidRDefault="00D87CB8" w:rsidP="002D2CED">
            <w:pPr>
              <w:rPr>
                <w:sz w:val="20"/>
                <w:szCs w:val="20"/>
              </w:rPr>
            </w:pPr>
            <w:r w:rsidRPr="00F00F2F">
              <w:rPr>
                <w:sz w:val="20"/>
                <w:szCs w:val="20"/>
              </w:rPr>
              <w:t>Arbeits-</w:t>
            </w:r>
          </w:p>
          <w:p w14:paraId="5B9C4A57" w14:textId="77777777" w:rsidR="00D87CB8" w:rsidRPr="00F00F2F" w:rsidRDefault="00D87CB8" w:rsidP="002D2CED">
            <w:pPr>
              <w:rPr>
                <w:sz w:val="20"/>
                <w:szCs w:val="20"/>
              </w:rPr>
            </w:pPr>
            <w:proofErr w:type="spellStart"/>
            <w:r w:rsidRPr="00F00F2F">
              <w:rPr>
                <w:sz w:val="20"/>
                <w:szCs w:val="20"/>
              </w:rPr>
              <w:t>philosophie</w:t>
            </w:r>
            <w:proofErr w:type="spellEnd"/>
          </w:p>
        </w:tc>
        <w:tc>
          <w:tcPr>
            <w:tcW w:w="795" w:type="pct"/>
          </w:tcPr>
          <w:p w14:paraId="15DCD7E1" w14:textId="77777777" w:rsidR="00D87CB8" w:rsidRPr="00F00F2F" w:rsidRDefault="00D87CB8" w:rsidP="002D2CED">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Aspekt der Anpassung</w:t>
            </w:r>
          </w:p>
        </w:tc>
        <w:tc>
          <w:tcPr>
            <w:tcW w:w="1792" w:type="pct"/>
          </w:tcPr>
          <w:p w14:paraId="54529845" w14:textId="77777777" w:rsidR="00D87CB8" w:rsidRPr="00F00F2F" w:rsidRDefault="00D87CB8" w:rsidP="002D2CED">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Beschreibung der Anpassung/ des Hinweises</w:t>
            </w:r>
          </w:p>
        </w:tc>
        <w:tc>
          <w:tcPr>
            <w:tcW w:w="1793" w:type="pct"/>
          </w:tcPr>
          <w:p w14:paraId="7FA87E7B" w14:textId="77777777" w:rsidR="00D87CB8" w:rsidRPr="00F00F2F" w:rsidRDefault="00D87CB8" w:rsidP="002D2CED">
            <w:pPr>
              <w:cnfStyle w:val="100000000000" w:firstRow="1" w:lastRow="0" w:firstColumn="0" w:lastColumn="0" w:oddVBand="0" w:evenVBand="0" w:oddHBand="0" w:evenHBand="0" w:firstRowFirstColumn="0" w:firstRowLastColumn="0" w:lastRowFirstColumn="0" w:lastRowLastColumn="0"/>
              <w:rPr>
                <w:sz w:val="20"/>
                <w:szCs w:val="20"/>
              </w:rPr>
            </w:pPr>
            <w:r w:rsidRPr="00F00F2F">
              <w:rPr>
                <w:sz w:val="20"/>
                <w:szCs w:val="20"/>
              </w:rPr>
              <w:t>Erläuterung</w:t>
            </w:r>
          </w:p>
        </w:tc>
      </w:tr>
      <w:tr w:rsidR="00D87CB8" w:rsidRPr="00F00F2F" w14:paraId="60F5B211"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val="restart"/>
          </w:tcPr>
          <w:p w14:paraId="42D153B1" w14:textId="77777777" w:rsidR="00D87CB8" w:rsidRDefault="00D87CB8" w:rsidP="002D2CED">
            <w:pPr>
              <w:rPr>
                <w:sz w:val="20"/>
                <w:szCs w:val="20"/>
              </w:rPr>
            </w:pPr>
            <w:r>
              <w:rPr>
                <w:sz w:val="20"/>
                <w:szCs w:val="20"/>
              </w:rPr>
              <w:t>Benevolence</w:t>
            </w:r>
          </w:p>
        </w:tc>
        <w:tc>
          <w:tcPr>
            <w:tcW w:w="795" w:type="pct"/>
          </w:tcPr>
          <w:p w14:paraId="73848257"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Beschreibung des Wertes</w:t>
            </w:r>
          </w:p>
        </w:tc>
        <w:tc>
          <w:tcPr>
            <w:tcW w:w="1792" w:type="pct"/>
          </w:tcPr>
          <w:p w14:paraId="3D894A07"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960161">
              <w:rPr>
                <w:sz w:val="20"/>
                <w:szCs w:val="20"/>
              </w:rPr>
              <w:t xml:space="preserve">Die beiden Kategorien </w:t>
            </w:r>
            <w:r>
              <w:rPr>
                <w:sz w:val="20"/>
                <w:szCs w:val="20"/>
              </w:rPr>
              <w:t xml:space="preserve">„Benevolence </w:t>
            </w:r>
            <w:proofErr w:type="spellStart"/>
            <w:r>
              <w:rPr>
                <w:sz w:val="20"/>
                <w:szCs w:val="20"/>
              </w:rPr>
              <w:t>dependability</w:t>
            </w:r>
            <w:proofErr w:type="spellEnd"/>
            <w:r>
              <w:rPr>
                <w:sz w:val="20"/>
                <w:szCs w:val="20"/>
              </w:rPr>
              <w:t xml:space="preserve">“ und „Benevolence- </w:t>
            </w:r>
            <w:proofErr w:type="spellStart"/>
            <w:r>
              <w:rPr>
                <w:sz w:val="20"/>
                <w:szCs w:val="20"/>
              </w:rPr>
              <w:t>Caring</w:t>
            </w:r>
            <w:proofErr w:type="spellEnd"/>
            <w:r>
              <w:rPr>
                <w:sz w:val="20"/>
                <w:szCs w:val="20"/>
              </w:rPr>
              <w:t xml:space="preserve">“ </w:t>
            </w:r>
            <w:r w:rsidRPr="00960161">
              <w:rPr>
                <w:sz w:val="20"/>
                <w:szCs w:val="20"/>
              </w:rPr>
              <w:t>werden zusammengelegt</w:t>
            </w:r>
            <w:r>
              <w:rPr>
                <w:sz w:val="20"/>
                <w:szCs w:val="20"/>
              </w:rPr>
              <w:t>.</w:t>
            </w:r>
          </w:p>
        </w:tc>
        <w:tc>
          <w:tcPr>
            <w:tcW w:w="1793" w:type="pct"/>
          </w:tcPr>
          <w:p w14:paraId="56E9C349"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Eine</w:t>
            </w:r>
            <w:r w:rsidRPr="00960161">
              <w:rPr>
                <w:sz w:val="20"/>
                <w:szCs w:val="20"/>
              </w:rPr>
              <w:t xml:space="preserve"> Differenzierung im Kontext der Wohneinrichtung wenig Sinn ergibt. Das hier dargestellte "</w:t>
            </w:r>
            <w:proofErr w:type="spellStart"/>
            <w:r w:rsidRPr="00960161">
              <w:rPr>
                <w:sz w:val="20"/>
                <w:szCs w:val="20"/>
              </w:rPr>
              <w:t>Caring</w:t>
            </w:r>
            <w:proofErr w:type="spellEnd"/>
            <w:r w:rsidRPr="00960161">
              <w:rPr>
                <w:sz w:val="20"/>
                <w:szCs w:val="20"/>
              </w:rPr>
              <w:t>" ist Voraussetzung für eine Anstellung im Bereich Wohnen. Wer also im Bereich Wohnen arbeitet, übernimmt Fürsorgepflicht durch die Aufgaben (Pflege, Assistenz, Betreuung)</w:t>
            </w:r>
          </w:p>
        </w:tc>
      </w:tr>
      <w:tr w:rsidR="00D87CB8" w:rsidRPr="00F00F2F" w14:paraId="1E930C34"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4CBD1B41" w14:textId="77777777" w:rsidR="00D87CB8" w:rsidRPr="00F00F2F" w:rsidRDefault="00D87CB8" w:rsidP="002D2CED">
            <w:pPr>
              <w:rPr>
                <w:sz w:val="20"/>
                <w:szCs w:val="20"/>
              </w:rPr>
            </w:pPr>
          </w:p>
        </w:tc>
        <w:tc>
          <w:tcPr>
            <w:tcW w:w="795" w:type="pct"/>
          </w:tcPr>
          <w:p w14:paraId="0DCB67BB"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w:t>
            </w:r>
          </w:p>
        </w:tc>
        <w:tc>
          <w:tcPr>
            <w:tcW w:w="1792" w:type="pct"/>
          </w:tcPr>
          <w:p w14:paraId="4F571F9D"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960161">
              <w:rPr>
                <w:sz w:val="20"/>
                <w:szCs w:val="20"/>
              </w:rPr>
              <w:t>Die Definition von Osterieder &amp; Banze zur A</w:t>
            </w:r>
            <w:r>
              <w:rPr>
                <w:sz w:val="20"/>
                <w:szCs w:val="20"/>
              </w:rPr>
              <w:t>b</w:t>
            </w:r>
            <w:r w:rsidRPr="00960161">
              <w:rPr>
                <w:sz w:val="20"/>
                <w:szCs w:val="20"/>
              </w:rPr>
              <w:t xml:space="preserve">grenzung zwischen </w:t>
            </w:r>
            <w:proofErr w:type="spellStart"/>
            <w:r w:rsidRPr="00960161">
              <w:rPr>
                <w:sz w:val="20"/>
                <w:szCs w:val="20"/>
              </w:rPr>
              <w:t>benevolence-caring</w:t>
            </w:r>
            <w:proofErr w:type="spellEnd"/>
            <w:r w:rsidRPr="00960161">
              <w:rPr>
                <w:sz w:val="20"/>
                <w:szCs w:val="20"/>
              </w:rPr>
              <w:t xml:space="preserve"> und </w:t>
            </w:r>
            <w:proofErr w:type="spellStart"/>
            <w:r w:rsidRPr="00960161">
              <w:rPr>
                <w:sz w:val="20"/>
                <w:szCs w:val="20"/>
              </w:rPr>
              <w:t>benevolence-dependability</w:t>
            </w:r>
            <w:proofErr w:type="spellEnd"/>
            <w:r w:rsidRPr="00960161">
              <w:rPr>
                <w:sz w:val="20"/>
                <w:szCs w:val="20"/>
              </w:rPr>
              <w:t xml:space="preserve"> wird hier obsolet, da die Kategorien zusammengefasst wurden.</w:t>
            </w:r>
          </w:p>
          <w:p w14:paraId="5C64AA18"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p>
          <w:p w14:paraId="1CDE2F51" w14:textId="77777777" w:rsidR="00D87CB8" w:rsidRPr="00F00F2F"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p>
        </w:tc>
        <w:tc>
          <w:tcPr>
            <w:tcW w:w="1793" w:type="pct"/>
          </w:tcPr>
          <w:p w14:paraId="12C9ECAD"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Pr="00960161">
              <w:rPr>
                <w:sz w:val="20"/>
                <w:szCs w:val="20"/>
              </w:rPr>
              <w:t>Teamfähigkeit</w:t>
            </w:r>
            <w:r>
              <w:rPr>
                <w:sz w:val="20"/>
                <w:szCs w:val="20"/>
              </w:rPr>
              <w:t>“</w:t>
            </w:r>
            <w:r w:rsidRPr="00960161">
              <w:rPr>
                <w:sz w:val="20"/>
                <w:szCs w:val="20"/>
              </w:rPr>
              <w:t>, wie sie Osterieder und Banze unter Benevolence kodiert haben, entfällt</w:t>
            </w:r>
            <w:r>
              <w:rPr>
                <w:sz w:val="20"/>
                <w:szCs w:val="20"/>
              </w:rPr>
              <w:t>. S</w:t>
            </w:r>
            <w:r w:rsidRPr="00960161">
              <w:rPr>
                <w:sz w:val="20"/>
                <w:szCs w:val="20"/>
              </w:rPr>
              <w:t xml:space="preserve">tattdessen gibt es den Kode </w:t>
            </w:r>
            <w:r>
              <w:rPr>
                <w:sz w:val="20"/>
                <w:szCs w:val="20"/>
              </w:rPr>
              <w:t>„</w:t>
            </w:r>
            <w:r w:rsidRPr="00960161">
              <w:rPr>
                <w:sz w:val="20"/>
                <w:szCs w:val="20"/>
              </w:rPr>
              <w:t>Kooperationswille</w:t>
            </w:r>
            <w:r>
              <w:rPr>
                <w:sz w:val="20"/>
                <w:szCs w:val="20"/>
              </w:rPr>
              <w:t>“</w:t>
            </w:r>
            <w:r w:rsidRPr="00960161">
              <w:rPr>
                <w:sz w:val="20"/>
                <w:szCs w:val="20"/>
              </w:rPr>
              <w:t xml:space="preserve"> oder </w:t>
            </w:r>
            <w:r>
              <w:rPr>
                <w:sz w:val="20"/>
                <w:szCs w:val="20"/>
              </w:rPr>
              <w:t>„</w:t>
            </w:r>
            <w:r w:rsidRPr="00960161">
              <w:rPr>
                <w:sz w:val="20"/>
                <w:szCs w:val="20"/>
              </w:rPr>
              <w:t>Gemeinschaft/ Kollegialität</w:t>
            </w:r>
            <w:r>
              <w:rPr>
                <w:sz w:val="20"/>
                <w:szCs w:val="20"/>
              </w:rPr>
              <w:t>“. D</w:t>
            </w:r>
            <w:r w:rsidRPr="00960161">
              <w:rPr>
                <w:sz w:val="20"/>
                <w:szCs w:val="20"/>
              </w:rPr>
              <w:t xml:space="preserve">iese beiden Kodes spezifizieren die Art der Teamfähigkeit </w:t>
            </w:r>
            <w:r>
              <w:rPr>
                <w:sz w:val="20"/>
                <w:szCs w:val="20"/>
              </w:rPr>
              <w:t>u</w:t>
            </w:r>
            <w:r w:rsidRPr="00960161">
              <w:rPr>
                <w:sz w:val="20"/>
                <w:szCs w:val="20"/>
              </w:rPr>
              <w:t>n</w:t>
            </w:r>
            <w:r>
              <w:rPr>
                <w:sz w:val="20"/>
                <w:szCs w:val="20"/>
              </w:rPr>
              <w:t>d</w:t>
            </w:r>
            <w:r w:rsidRPr="00960161">
              <w:rPr>
                <w:sz w:val="20"/>
                <w:szCs w:val="20"/>
              </w:rPr>
              <w:t xml:space="preserve"> den Willen überhaupt miteinander zu arbeiten </w:t>
            </w:r>
            <w:r>
              <w:rPr>
                <w:sz w:val="20"/>
                <w:szCs w:val="20"/>
              </w:rPr>
              <w:t>sowie</w:t>
            </w:r>
            <w:r w:rsidRPr="00960161">
              <w:rPr>
                <w:sz w:val="20"/>
                <w:szCs w:val="20"/>
              </w:rPr>
              <w:t xml:space="preserve"> den Aspekt einander kollegial zu Seite zu stehen</w:t>
            </w:r>
            <w:r>
              <w:rPr>
                <w:sz w:val="20"/>
                <w:szCs w:val="20"/>
              </w:rPr>
              <w:t>.</w:t>
            </w:r>
          </w:p>
          <w:p w14:paraId="67896FCD" w14:textId="77777777" w:rsidR="00D87CB8" w:rsidRPr="00F00F2F"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p>
        </w:tc>
      </w:tr>
      <w:tr w:rsidR="00D87CB8" w:rsidRPr="00F00F2F" w14:paraId="7F72BB82"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tcPr>
          <w:p w14:paraId="0A47DC9E" w14:textId="77777777" w:rsidR="00D87CB8" w:rsidRDefault="00D87CB8" w:rsidP="002D2CED">
            <w:pPr>
              <w:rPr>
                <w:sz w:val="20"/>
                <w:szCs w:val="20"/>
              </w:rPr>
            </w:pPr>
          </w:p>
        </w:tc>
        <w:tc>
          <w:tcPr>
            <w:tcW w:w="795" w:type="pct"/>
          </w:tcPr>
          <w:p w14:paraId="01E755F2"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Abgrenzung</w:t>
            </w:r>
          </w:p>
        </w:tc>
        <w:tc>
          <w:tcPr>
            <w:tcW w:w="1792" w:type="pct"/>
          </w:tcPr>
          <w:p w14:paraId="22D8CF67"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960161">
              <w:rPr>
                <w:sz w:val="20"/>
                <w:szCs w:val="20"/>
              </w:rPr>
              <w:t>HINWEIS:</w:t>
            </w:r>
            <w:r>
              <w:rPr>
                <w:sz w:val="20"/>
                <w:szCs w:val="20"/>
              </w:rPr>
              <w:t xml:space="preserve"> </w:t>
            </w:r>
            <w:r w:rsidRPr="00960161">
              <w:rPr>
                <w:sz w:val="20"/>
                <w:szCs w:val="20"/>
              </w:rPr>
              <w:t>Im Kontext der Perspektive auf Organisationen, gibt es den Kode "Teamstruktur". Dieser definiert, wie Teammitglieder zueinanderstehen und welche Beziehungen zwischen den Teammitglieder zu erkennen sind. Insofern also in den Textpassagen soziale Beziehungsformate zwischen den Teammitgliedern zu erkennen waren oder die Team-Arbeits-Dynamik beschrieben wurde, wurde nicht "Teamfähigkeit" kodiert, sondern Teamstruktur.</w:t>
            </w:r>
          </w:p>
        </w:tc>
        <w:tc>
          <w:tcPr>
            <w:tcW w:w="1793" w:type="pct"/>
          </w:tcPr>
          <w:p w14:paraId="72995585"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D87CB8" w:rsidRPr="00F00F2F" w14:paraId="6B5CB134"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6F907584" w14:textId="77777777" w:rsidR="00D87CB8" w:rsidRDefault="00D87CB8" w:rsidP="002D2CED">
            <w:pPr>
              <w:rPr>
                <w:sz w:val="20"/>
                <w:szCs w:val="20"/>
              </w:rPr>
            </w:pPr>
          </w:p>
        </w:tc>
        <w:tc>
          <w:tcPr>
            <w:tcW w:w="795" w:type="pct"/>
          </w:tcPr>
          <w:p w14:paraId="13F93C92"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Problematisierung</w:t>
            </w:r>
          </w:p>
        </w:tc>
        <w:tc>
          <w:tcPr>
            <w:tcW w:w="1792" w:type="pct"/>
          </w:tcPr>
          <w:p w14:paraId="5B956B01"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Dieser Aspekt entfällt.</w:t>
            </w:r>
          </w:p>
        </w:tc>
        <w:tc>
          <w:tcPr>
            <w:tcW w:w="1793" w:type="pct"/>
          </w:tcPr>
          <w:p w14:paraId="61565761"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Osterieder &amp; Banze forcieren den Aspekt der Loyalität und beschreiben die Probleme dabei. Loyalität wurde in der Forschung nicht kodiert, sodass diese Problematisierung nicht auf diese Forschungsarbeit anzuwenden war.</w:t>
            </w:r>
          </w:p>
          <w:p w14:paraId="1DFB5A6A" w14:textId="77777777" w:rsidR="00D16F4B" w:rsidRDefault="00D16F4B" w:rsidP="002D2CED">
            <w:pPr>
              <w:cnfStyle w:val="000000000000" w:firstRow="0" w:lastRow="0" w:firstColumn="0" w:lastColumn="0" w:oddVBand="0" w:evenVBand="0" w:oddHBand="0" w:evenHBand="0" w:firstRowFirstColumn="0" w:firstRowLastColumn="0" w:lastRowFirstColumn="0" w:lastRowLastColumn="0"/>
              <w:rPr>
                <w:sz w:val="20"/>
                <w:szCs w:val="20"/>
              </w:rPr>
            </w:pPr>
          </w:p>
          <w:p w14:paraId="0E36E786" w14:textId="77777777" w:rsidR="00D16F4B" w:rsidRPr="00960161" w:rsidRDefault="00D16F4B" w:rsidP="002D2CED">
            <w:pPr>
              <w:cnfStyle w:val="000000000000" w:firstRow="0" w:lastRow="0" w:firstColumn="0" w:lastColumn="0" w:oddVBand="0" w:evenVBand="0" w:oddHBand="0" w:evenHBand="0" w:firstRowFirstColumn="0" w:firstRowLastColumn="0" w:lastRowFirstColumn="0" w:lastRowLastColumn="0"/>
              <w:rPr>
                <w:sz w:val="20"/>
                <w:szCs w:val="20"/>
              </w:rPr>
            </w:pPr>
          </w:p>
        </w:tc>
      </w:tr>
      <w:tr w:rsidR="00D87CB8" w:rsidRPr="00F00F2F" w14:paraId="688C6577"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val="restart"/>
          </w:tcPr>
          <w:p w14:paraId="5E071A90" w14:textId="77777777" w:rsidR="00D87CB8" w:rsidRDefault="00D87CB8" w:rsidP="002D2CED">
            <w:pPr>
              <w:rPr>
                <w:sz w:val="20"/>
                <w:szCs w:val="20"/>
              </w:rPr>
            </w:pPr>
            <w:r>
              <w:rPr>
                <w:sz w:val="20"/>
                <w:szCs w:val="20"/>
              </w:rPr>
              <w:lastRenderedPageBreak/>
              <w:t>Sicherheit</w:t>
            </w:r>
          </w:p>
        </w:tc>
        <w:tc>
          <w:tcPr>
            <w:tcW w:w="795" w:type="pct"/>
          </w:tcPr>
          <w:p w14:paraId="5192FE1F"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Beschreibung „persönliche Sicherheit“</w:t>
            </w:r>
          </w:p>
        </w:tc>
        <w:tc>
          <w:tcPr>
            <w:tcW w:w="1792" w:type="pct"/>
          </w:tcPr>
          <w:p w14:paraId="0F2BD61D"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Anpassung des Wordings auf das Intensivwohnen</w:t>
            </w:r>
          </w:p>
        </w:tc>
        <w:tc>
          <w:tcPr>
            <w:tcW w:w="1793" w:type="pct"/>
          </w:tcPr>
          <w:p w14:paraId="1FC1CAC3"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D87CB8" w:rsidRPr="00F00F2F" w14:paraId="3CCD87DD"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6D1D8322" w14:textId="77777777" w:rsidR="00D87CB8" w:rsidRDefault="00D87CB8" w:rsidP="002D2CED">
            <w:pPr>
              <w:rPr>
                <w:sz w:val="20"/>
                <w:szCs w:val="20"/>
              </w:rPr>
            </w:pPr>
          </w:p>
        </w:tc>
        <w:tc>
          <w:tcPr>
            <w:tcW w:w="795" w:type="pct"/>
          </w:tcPr>
          <w:p w14:paraId="203CA7B0"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Beschreibung „gesellschaftliche Stabilität und Sicherheit (social)“</w:t>
            </w:r>
          </w:p>
        </w:tc>
        <w:tc>
          <w:tcPr>
            <w:tcW w:w="1792" w:type="pct"/>
          </w:tcPr>
          <w:p w14:paraId="51F9D9FC"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Anpassung des Wordings auf das Intensivwohnen</w:t>
            </w:r>
          </w:p>
        </w:tc>
        <w:tc>
          <w:tcPr>
            <w:tcW w:w="1793" w:type="pct"/>
          </w:tcPr>
          <w:p w14:paraId="792C8A96"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D87CB8" w:rsidRPr="00F00F2F" w14:paraId="4159042B"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tcPr>
          <w:p w14:paraId="33E20E5D" w14:textId="77777777" w:rsidR="00D87CB8" w:rsidRDefault="00D87CB8" w:rsidP="002D2CED">
            <w:pPr>
              <w:rPr>
                <w:sz w:val="20"/>
                <w:szCs w:val="20"/>
              </w:rPr>
            </w:pPr>
          </w:p>
        </w:tc>
        <w:tc>
          <w:tcPr>
            <w:tcW w:w="795" w:type="pct"/>
          </w:tcPr>
          <w:p w14:paraId="024DE0E7"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Abgrenzung „</w:t>
            </w:r>
            <w:proofErr w:type="spellStart"/>
            <w:r>
              <w:rPr>
                <w:sz w:val="20"/>
                <w:szCs w:val="20"/>
              </w:rPr>
              <w:t>security</w:t>
            </w:r>
            <w:proofErr w:type="spellEnd"/>
            <w:r>
              <w:rPr>
                <w:sz w:val="20"/>
                <w:szCs w:val="20"/>
              </w:rPr>
              <w:t xml:space="preserve"> personal“</w:t>
            </w:r>
          </w:p>
        </w:tc>
        <w:tc>
          <w:tcPr>
            <w:tcW w:w="1792" w:type="pct"/>
          </w:tcPr>
          <w:p w14:paraId="00B9AC9A"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Hinweis auf doppelte Kodierung von Regeln im Sinne von Sicherheitsaspekte durch angrenzende Ähnlichkeit zu Konformität.</w:t>
            </w:r>
          </w:p>
        </w:tc>
        <w:tc>
          <w:tcPr>
            <w:tcW w:w="1793" w:type="pct"/>
          </w:tcPr>
          <w:p w14:paraId="6E1F49A4"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w:t>
            </w:r>
            <w:r w:rsidRPr="00381AF7">
              <w:rPr>
                <w:sz w:val="20"/>
                <w:szCs w:val="20"/>
              </w:rPr>
              <w:t xml:space="preserve">ationale Sicherheit </w:t>
            </w:r>
            <w:r>
              <w:rPr>
                <w:sz w:val="20"/>
                <w:szCs w:val="20"/>
              </w:rPr>
              <w:t xml:space="preserve">als Bezeichnung bei Osterieder &amp; Banze </w:t>
            </w:r>
            <w:r w:rsidRPr="00381AF7">
              <w:rPr>
                <w:sz w:val="20"/>
                <w:szCs w:val="20"/>
              </w:rPr>
              <w:t>ist im IW auf die Wohneinrichtung, als eigenes System, bezogen. Daher findet eine entsprechend eventuelle doppelte Kodierung dann statt, wenn es Tendenzen zum Einhalten von Regeln als Sicherheitsaspekt gibt.</w:t>
            </w:r>
          </w:p>
        </w:tc>
      </w:tr>
      <w:tr w:rsidR="00D87CB8" w:rsidRPr="00F00F2F" w14:paraId="584A56F7"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0F01CC80" w14:textId="77777777" w:rsidR="00D87CB8" w:rsidRDefault="00D87CB8" w:rsidP="002D2CED">
            <w:pPr>
              <w:rPr>
                <w:sz w:val="20"/>
                <w:szCs w:val="20"/>
              </w:rPr>
            </w:pPr>
          </w:p>
        </w:tc>
        <w:tc>
          <w:tcPr>
            <w:tcW w:w="795" w:type="pct"/>
          </w:tcPr>
          <w:p w14:paraId="530F0D09"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 „</w:t>
            </w:r>
            <w:proofErr w:type="spellStart"/>
            <w:r>
              <w:rPr>
                <w:sz w:val="20"/>
                <w:szCs w:val="20"/>
              </w:rPr>
              <w:t>security</w:t>
            </w:r>
            <w:proofErr w:type="spellEnd"/>
            <w:r>
              <w:rPr>
                <w:sz w:val="20"/>
                <w:szCs w:val="20"/>
              </w:rPr>
              <w:t xml:space="preserve"> social“</w:t>
            </w:r>
          </w:p>
        </w:tc>
        <w:tc>
          <w:tcPr>
            <w:tcW w:w="1792" w:type="pct"/>
          </w:tcPr>
          <w:p w14:paraId="0373F780"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381AF7">
              <w:rPr>
                <w:sz w:val="20"/>
                <w:szCs w:val="20"/>
              </w:rPr>
              <w:t xml:space="preserve">Security-personal fokussiert das Individuum, während </w:t>
            </w:r>
            <w:proofErr w:type="spellStart"/>
            <w:r w:rsidRPr="00381AF7">
              <w:rPr>
                <w:sz w:val="20"/>
                <w:szCs w:val="20"/>
              </w:rPr>
              <w:t>security-societal</w:t>
            </w:r>
            <w:proofErr w:type="spellEnd"/>
            <w:r w:rsidRPr="00381AF7">
              <w:rPr>
                <w:sz w:val="20"/>
                <w:szCs w:val="20"/>
              </w:rPr>
              <w:t xml:space="preserve"> die nationale Sicherheit, Ordnung und Wehrhaftigkeit betrifft. </w:t>
            </w:r>
            <w:proofErr w:type="spellStart"/>
            <w:r w:rsidRPr="00381AF7">
              <w:rPr>
                <w:sz w:val="20"/>
                <w:szCs w:val="20"/>
              </w:rPr>
              <w:t>Universalism-tolerance</w:t>
            </w:r>
            <w:proofErr w:type="spellEnd"/>
            <w:r w:rsidRPr="00381AF7">
              <w:rPr>
                <w:sz w:val="20"/>
                <w:szCs w:val="20"/>
              </w:rPr>
              <w:t xml:space="preserve"> zielt auf Frieden für alle Menschen, </w:t>
            </w:r>
            <w:proofErr w:type="spellStart"/>
            <w:r w:rsidRPr="00381AF7">
              <w:rPr>
                <w:sz w:val="20"/>
                <w:szCs w:val="20"/>
              </w:rPr>
              <w:t>security-societal</w:t>
            </w:r>
            <w:proofErr w:type="spellEnd"/>
            <w:r w:rsidRPr="00381AF7">
              <w:rPr>
                <w:sz w:val="20"/>
                <w:szCs w:val="20"/>
              </w:rPr>
              <w:t xml:space="preserve"> auf den Staat.</w:t>
            </w:r>
          </w:p>
          <w:p w14:paraId="12EAAC30"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381AF7">
              <w:rPr>
                <w:sz w:val="20"/>
                <w:szCs w:val="20"/>
              </w:rPr>
              <w:t xml:space="preserve">Aufgrund des Kontextes IW bezieht sich </w:t>
            </w:r>
            <w:proofErr w:type="spellStart"/>
            <w:r w:rsidRPr="00381AF7">
              <w:rPr>
                <w:sz w:val="20"/>
                <w:szCs w:val="20"/>
              </w:rPr>
              <w:t>security</w:t>
            </w:r>
            <w:proofErr w:type="spellEnd"/>
            <w:r w:rsidRPr="00381AF7">
              <w:rPr>
                <w:sz w:val="20"/>
                <w:szCs w:val="20"/>
              </w:rPr>
              <w:t xml:space="preserve">-social nur auf die Organisation als eigenes System betrachtet. Ähnlichkeiten zu </w:t>
            </w:r>
            <w:proofErr w:type="spellStart"/>
            <w:r w:rsidRPr="00381AF7">
              <w:rPr>
                <w:sz w:val="20"/>
                <w:szCs w:val="20"/>
              </w:rPr>
              <w:t>universalism</w:t>
            </w:r>
            <w:proofErr w:type="spellEnd"/>
            <w:r w:rsidRPr="00381AF7">
              <w:rPr>
                <w:sz w:val="20"/>
                <w:szCs w:val="20"/>
              </w:rPr>
              <w:t xml:space="preserve"> - </w:t>
            </w:r>
            <w:proofErr w:type="spellStart"/>
            <w:r w:rsidRPr="00381AF7">
              <w:rPr>
                <w:sz w:val="20"/>
                <w:szCs w:val="20"/>
              </w:rPr>
              <w:t>tolerance</w:t>
            </w:r>
            <w:proofErr w:type="spellEnd"/>
            <w:r w:rsidRPr="00381AF7">
              <w:rPr>
                <w:sz w:val="20"/>
                <w:szCs w:val="20"/>
              </w:rPr>
              <w:t xml:space="preserve"> bestehen, da beide den Wert des Friedens beinhalten</w:t>
            </w:r>
          </w:p>
        </w:tc>
        <w:tc>
          <w:tcPr>
            <w:tcW w:w="1793" w:type="pct"/>
          </w:tcPr>
          <w:p w14:paraId="4FDC7A3D"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381AF7">
              <w:rPr>
                <w:sz w:val="20"/>
                <w:szCs w:val="20"/>
              </w:rPr>
              <w:t>Der Wert des Friedens ist daher zu unterscheiden, dass es sich um Frieden für alle Menschen (intern und extern, z.B. Eltern und Ärzte) handelt oder um Frieden im Sinne einer harmonischen Ordnung innerhalb der Einrichtung. Die Abgrenzung von Sicherheit zu Toleranz besteht darin, dass es sich bei Toleranz um Frieden als mentales Gut, für alle in der Wohneinrichtung lebenden und arbeitenden Personen handelt, während Sicherheit sich auf eben diese bezieht; also Wahrung von körperlicher und mentaler Unversehrtheit.</w:t>
            </w:r>
            <w:r>
              <w:rPr>
                <w:sz w:val="20"/>
                <w:szCs w:val="20"/>
              </w:rPr>
              <w:t xml:space="preserve"> </w:t>
            </w:r>
            <w:r w:rsidRPr="003A676A">
              <w:rPr>
                <w:sz w:val="20"/>
                <w:szCs w:val="20"/>
              </w:rPr>
              <w:t>Im Kontext der Dissertation ist Frieden vom Aspekt der Sicherheit abzugrenzen und findet sich ggf. unter universalistischen Arbeitsphilosophien.</w:t>
            </w:r>
          </w:p>
        </w:tc>
      </w:tr>
      <w:tr w:rsidR="00D87CB8" w:rsidRPr="00F00F2F" w14:paraId="60C38CC2"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tcPr>
          <w:p w14:paraId="36F735A5" w14:textId="77777777" w:rsidR="00D87CB8" w:rsidRDefault="00D87CB8" w:rsidP="002D2CED">
            <w:pPr>
              <w:rPr>
                <w:sz w:val="20"/>
                <w:szCs w:val="20"/>
              </w:rPr>
            </w:pPr>
            <w:r>
              <w:rPr>
                <w:sz w:val="20"/>
                <w:szCs w:val="20"/>
              </w:rPr>
              <w:t>Leistung</w:t>
            </w:r>
          </w:p>
        </w:tc>
        <w:tc>
          <w:tcPr>
            <w:tcW w:w="795" w:type="pct"/>
          </w:tcPr>
          <w:p w14:paraId="44D1D4B5"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Abgrenzung</w:t>
            </w:r>
          </w:p>
        </w:tc>
        <w:tc>
          <w:tcPr>
            <w:tcW w:w="1792" w:type="pct"/>
          </w:tcPr>
          <w:p w14:paraId="40D9EE75" w14:textId="77777777" w:rsidR="00D87CB8" w:rsidRPr="00D43279" w:rsidRDefault="00D87CB8" w:rsidP="002D2CED">
            <w:pPr>
              <w:cnfStyle w:val="000000100000" w:firstRow="0" w:lastRow="0" w:firstColumn="0" w:lastColumn="0" w:oddVBand="0" w:evenVBand="0" w:oddHBand="1" w:evenHBand="0" w:firstRowFirstColumn="0" w:firstRowLastColumn="0" w:lastRowFirstColumn="0" w:lastRowLastColumn="0"/>
              <w:rPr>
                <w:sz w:val="20"/>
                <w:szCs w:val="20"/>
                <w:lang w:val="en-US"/>
              </w:rPr>
            </w:pPr>
            <w:r w:rsidRPr="00D43279">
              <w:rPr>
                <w:sz w:val="20"/>
                <w:szCs w:val="20"/>
                <w:lang w:val="en-US"/>
              </w:rPr>
              <w:t xml:space="preserve">Schwarz et al. (2012) </w:t>
            </w:r>
            <w:proofErr w:type="spellStart"/>
            <w:r w:rsidRPr="00D43279">
              <w:rPr>
                <w:sz w:val="20"/>
                <w:szCs w:val="20"/>
                <w:lang w:val="en-US"/>
              </w:rPr>
              <w:t>verzichten</w:t>
            </w:r>
            <w:proofErr w:type="spellEnd"/>
            <w:r w:rsidRPr="00D43279">
              <w:rPr>
                <w:sz w:val="20"/>
                <w:szCs w:val="20"/>
                <w:lang w:val="en-US"/>
              </w:rPr>
              <w:t xml:space="preserve"> </w:t>
            </w:r>
            <w:proofErr w:type="spellStart"/>
            <w:r w:rsidRPr="00D43279">
              <w:rPr>
                <w:sz w:val="20"/>
                <w:szCs w:val="20"/>
                <w:lang w:val="en-US"/>
              </w:rPr>
              <w:t>bei</w:t>
            </w:r>
            <w:proofErr w:type="spellEnd"/>
            <w:r w:rsidRPr="00D43279">
              <w:rPr>
                <w:sz w:val="20"/>
                <w:szCs w:val="20"/>
                <w:lang w:val="en-US"/>
              </w:rPr>
              <w:t xml:space="preserve"> achievement </w:t>
            </w:r>
            <w:proofErr w:type="spellStart"/>
            <w:r w:rsidRPr="00D43279">
              <w:rPr>
                <w:sz w:val="20"/>
                <w:szCs w:val="20"/>
                <w:lang w:val="en-US"/>
              </w:rPr>
              <w:t>darauf</w:t>
            </w:r>
            <w:proofErr w:type="spellEnd"/>
            <w:r w:rsidRPr="00D43279">
              <w:rPr>
                <w:sz w:val="20"/>
                <w:szCs w:val="20"/>
                <w:lang w:val="en-US"/>
              </w:rPr>
              <w:t xml:space="preserve">, die Motivation </w:t>
            </w:r>
            <w:proofErr w:type="spellStart"/>
            <w:r w:rsidRPr="00D43279">
              <w:rPr>
                <w:sz w:val="20"/>
                <w:szCs w:val="20"/>
                <w:lang w:val="en-US"/>
              </w:rPr>
              <w:t>durch</w:t>
            </w:r>
            <w:proofErr w:type="spellEnd"/>
            <w:r w:rsidRPr="00D43279">
              <w:rPr>
                <w:sz w:val="20"/>
                <w:szCs w:val="20"/>
                <w:lang w:val="en-US"/>
              </w:rPr>
              <w:t xml:space="preserve"> </w:t>
            </w:r>
            <w:proofErr w:type="spellStart"/>
            <w:r w:rsidRPr="00D43279">
              <w:rPr>
                <w:sz w:val="20"/>
                <w:szCs w:val="20"/>
                <w:lang w:val="en-US"/>
              </w:rPr>
              <w:t>Selbstwirksamkeit</w:t>
            </w:r>
            <w:proofErr w:type="spellEnd"/>
            <w:r w:rsidRPr="00D43279">
              <w:rPr>
                <w:sz w:val="20"/>
                <w:szCs w:val="20"/>
                <w:lang w:val="en-US"/>
              </w:rPr>
              <w:t xml:space="preserve"> in den </w:t>
            </w:r>
            <w:proofErr w:type="spellStart"/>
            <w:r w:rsidRPr="00D43279">
              <w:rPr>
                <w:sz w:val="20"/>
                <w:szCs w:val="20"/>
                <w:lang w:val="en-US"/>
              </w:rPr>
              <w:t>Kriterienkatalog</w:t>
            </w:r>
            <w:proofErr w:type="spellEnd"/>
            <w:r w:rsidRPr="00D43279">
              <w:rPr>
                <w:sz w:val="20"/>
                <w:szCs w:val="20"/>
                <w:lang w:val="en-US"/>
              </w:rPr>
              <w:t xml:space="preserve"> </w:t>
            </w:r>
            <w:proofErr w:type="spellStart"/>
            <w:r w:rsidRPr="00D43279">
              <w:rPr>
                <w:sz w:val="20"/>
                <w:szCs w:val="20"/>
                <w:lang w:val="en-US"/>
              </w:rPr>
              <w:t>aufzunehmen</w:t>
            </w:r>
            <w:proofErr w:type="spellEnd"/>
            <w:r w:rsidRPr="00D43279">
              <w:rPr>
                <w:sz w:val="20"/>
                <w:szCs w:val="20"/>
                <w:lang w:val="en-US"/>
              </w:rPr>
              <w:t xml:space="preserve">: „We narrow the original definition of Achievement to express the underlying motivation to be judged as successful by </w:t>
            </w:r>
            <w:proofErr w:type="spellStart"/>
            <w:r w:rsidRPr="00D43279">
              <w:rPr>
                <w:sz w:val="20"/>
                <w:szCs w:val="20"/>
                <w:lang w:val="en-US"/>
              </w:rPr>
              <w:t>oth</w:t>
            </w:r>
            <w:proofErr w:type="spellEnd"/>
            <w:r w:rsidRPr="00D43279">
              <w:rPr>
                <w:sz w:val="20"/>
                <w:szCs w:val="20"/>
                <w:lang w:val="en-US"/>
              </w:rPr>
              <w:t xml:space="preserve">- </w:t>
            </w:r>
            <w:proofErr w:type="spellStart"/>
            <w:r w:rsidRPr="00D43279">
              <w:rPr>
                <w:sz w:val="20"/>
                <w:szCs w:val="20"/>
                <w:lang w:val="en-US"/>
              </w:rPr>
              <w:t>ers</w:t>
            </w:r>
            <w:proofErr w:type="spellEnd"/>
            <w:r w:rsidRPr="00D43279">
              <w:rPr>
                <w:sz w:val="20"/>
                <w:szCs w:val="20"/>
                <w:lang w:val="en-US"/>
              </w:rPr>
              <w:t>, dropping the concept of competence” (S. 666).</w:t>
            </w:r>
          </w:p>
          <w:p w14:paraId="039DDC05" w14:textId="77777777" w:rsidR="00D87CB8" w:rsidRPr="00D43279"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D43279">
              <w:rPr>
                <w:sz w:val="20"/>
                <w:szCs w:val="20"/>
              </w:rPr>
              <w:lastRenderedPageBreak/>
              <w:t xml:space="preserve">Zur Differenzierung von extrinsischer und intrinsischer Motivation wäre noch zu beachten, dass Schwartz et al. (2012) bei </w:t>
            </w:r>
            <w:proofErr w:type="spellStart"/>
            <w:r w:rsidRPr="00D43279">
              <w:rPr>
                <w:sz w:val="20"/>
                <w:szCs w:val="20"/>
              </w:rPr>
              <w:t>achievement</w:t>
            </w:r>
            <w:proofErr w:type="spellEnd"/>
            <w:r w:rsidRPr="00D43279">
              <w:rPr>
                <w:sz w:val="20"/>
                <w:szCs w:val="20"/>
              </w:rPr>
              <w:t xml:space="preserve"> extrinsisch motiviertes Leistungsstreben und bei </w:t>
            </w:r>
            <w:proofErr w:type="spellStart"/>
            <w:r w:rsidRPr="00D43279">
              <w:rPr>
                <w:sz w:val="20"/>
                <w:szCs w:val="20"/>
              </w:rPr>
              <w:t>Selfdirection</w:t>
            </w:r>
            <w:proofErr w:type="spellEnd"/>
            <w:r w:rsidRPr="00D43279">
              <w:rPr>
                <w:sz w:val="20"/>
                <w:szCs w:val="20"/>
              </w:rPr>
              <w:t xml:space="preserve"> ̶ </w:t>
            </w:r>
            <w:proofErr w:type="spellStart"/>
            <w:r w:rsidRPr="00D43279">
              <w:rPr>
                <w:sz w:val="20"/>
                <w:szCs w:val="20"/>
              </w:rPr>
              <w:t>action</w:t>
            </w:r>
            <w:proofErr w:type="spellEnd"/>
            <w:r w:rsidRPr="00D43279">
              <w:rPr>
                <w:sz w:val="20"/>
                <w:szCs w:val="20"/>
              </w:rPr>
              <w:t xml:space="preserve"> und Self-</w:t>
            </w:r>
            <w:proofErr w:type="spellStart"/>
            <w:r w:rsidRPr="00D43279">
              <w:rPr>
                <w:sz w:val="20"/>
                <w:szCs w:val="20"/>
              </w:rPr>
              <w:t>direc</w:t>
            </w:r>
            <w:proofErr w:type="spellEnd"/>
            <w:r w:rsidRPr="00D43279">
              <w:rPr>
                <w:sz w:val="20"/>
                <w:szCs w:val="20"/>
              </w:rPr>
              <w:t xml:space="preserve">- </w:t>
            </w:r>
            <w:proofErr w:type="spellStart"/>
            <w:r w:rsidRPr="00D43279">
              <w:rPr>
                <w:sz w:val="20"/>
                <w:szCs w:val="20"/>
              </w:rPr>
              <w:t>tion</w:t>
            </w:r>
            <w:proofErr w:type="spellEnd"/>
            <w:r w:rsidRPr="00D43279">
              <w:rPr>
                <w:sz w:val="20"/>
                <w:szCs w:val="20"/>
              </w:rPr>
              <w:t xml:space="preserve"> ̶ </w:t>
            </w:r>
            <w:proofErr w:type="spellStart"/>
            <w:r w:rsidRPr="00D43279">
              <w:rPr>
                <w:sz w:val="20"/>
                <w:szCs w:val="20"/>
              </w:rPr>
              <w:t>thought</w:t>
            </w:r>
            <w:proofErr w:type="spellEnd"/>
            <w:r w:rsidRPr="00D43279">
              <w:rPr>
                <w:sz w:val="20"/>
                <w:szCs w:val="20"/>
              </w:rPr>
              <w:t xml:space="preserve"> jeweils intrinsische Motivation zugrunde legen.</w:t>
            </w:r>
          </w:p>
          <w:p w14:paraId="5A0E534D" w14:textId="77777777" w:rsidR="00D87CB8" w:rsidRPr="00D43279"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p>
          <w:p w14:paraId="729EA69B" w14:textId="77777777" w:rsidR="00D87CB8" w:rsidRPr="00D43279"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D43279">
              <w:rPr>
                <w:sz w:val="20"/>
                <w:szCs w:val="20"/>
              </w:rPr>
              <w:t>ANPASSUNG</w:t>
            </w:r>
            <w:r>
              <w:rPr>
                <w:sz w:val="20"/>
                <w:szCs w:val="20"/>
              </w:rPr>
              <w:t xml:space="preserve">: </w:t>
            </w:r>
            <w:r w:rsidRPr="00D43279">
              <w:rPr>
                <w:sz w:val="20"/>
                <w:szCs w:val="20"/>
              </w:rPr>
              <w:t xml:space="preserve">bei Einigkeit und Sinnfindung (Kodierhandbuch zu Handlungskontexten) gibt es einen Unterschied. Einigkeit ist das Ergebnis eines Zustands, in dem alle Mitglieder einer Gruppe einer bestimmten Entscheidung oder Meinung zustimmen, um damit auch effektiv arbeiten zu können. </w:t>
            </w:r>
          </w:p>
          <w:p w14:paraId="4B6A8F41"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D43279">
              <w:rPr>
                <w:sz w:val="20"/>
                <w:szCs w:val="20"/>
              </w:rPr>
              <w:t>Gemeinsame Sinnfindung hingegen ist der Prozess, durch den diese Einigkeit erreicht wird, indem tiefere Überlegungen angestellt werden, um ein gemeinsames Verständnis und eine gemeinsame Bedeutung zu entwickeln.</w:t>
            </w:r>
          </w:p>
        </w:tc>
        <w:tc>
          <w:tcPr>
            <w:tcW w:w="1793" w:type="pct"/>
          </w:tcPr>
          <w:p w14:paraId="52068FB2"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Die genannte Unterscheidung ergibt sich daraus, dass die Forscherin differenziert zwischen dem Erkennen von Kodes, die Einigkeit als bereits bestehendes Endergebnis darstellen und Kodes, die auf den Prozess zur gemeinsamen Sinnfindung hinweisen.</w:t>
            </w:r>
          </w:p>
        </w:tc>
      </w:tr>
      <w:tr w:rsidR="00D87CB8" w:rsidRPr="00F00F2F" w14:paraId="04E563EE" w14:textId="77777777" w:rsidTr="00D16F4B">
        <w:tc>
          <w:tcPr>
            <w:cnfStyle w:val="001000000000" w:firstRow="0" w:lastRow="0" w:firstColumn="1" w:lastColumn="0" w:oddVBand="0" w:evenVBand="0" w:oddHBand="0" w:evenHBand="0" w:firstRowFirstColumn="0" w:firstRowLastColumn="0" w:lastRowFirstColumn="0" w:lastRowLastColumn="0"/>
            <w:tcW w:w="620" w:type="pct"/>
            <w:vMerge w:val="restart"/>
          </w:tcPr>
          <w:p w14:paraId="48FBDA4C" w14:textId="77777777" w:rsidR="00D87CB8" w:rsidRDefault="00D87CB8" w:rsidP="002D2CED">
            <w:pPr>
              <w:rPr>
                <w:sz w:val="20"/>
                <w:szCs w:val="20"/>
              </w:rPr>
            </w:pPr>
            <w:r>
              <w:rPr>
                <w:sz w:val="20"/>
                <w:szCs w:val="20"/>
              </w:rPr>
              <w:t>Macht</w:t>
            </w:r>
          </w:p>
        </w:tc>
        <w:tc>
          <w:tcPr>
            <w:tcW w:w="795" w:type="pct"/>
          </w:tcPr>
          <w:p w14:paraId="00F27E10"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Beschreibung</w:t>
            </w:r>
          </w:p>
        </w:tc>
        <w:tc>
          <w:tcPr>
            <w:tcW w:w="1792" w:type="pct"/>
          </w:tcPr>
          <w:p w14:paraId="71DAE73A"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ERGÄNZUNG: </w:t>
            </w:r>
            <w:r w:rsidRPr="000E7EB1">
              <w:rPr>
                <w:sz w:val="20"/>
                <w:szCs w:val="20"/>
              </w:rPr>
              <w:t xml:space="preserve">Macht kann auch bedeuten, sich selbst bemächtigen zu können. </w:t>
            </w:r>
          </w:p>
        </w:tc>
        <w:tc>
          <w:tcPr>
            <w:tcW w:w="1793" w:type="pct"/>
          </w:tcPr>
          <w:p w14:paraId="75E59DD8" w14:textId="77777777" w:rsidR="00D87CB8" w:rsidRPr="0096016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0E7EB1">
              <w:rPr>
                <w:sz w:val="20"/>
                <w:szCs w:val="20"/>
              </w:rPr>
              <w:t xml:space="preserve">Im Kontext der Forschung spielt der Begriff Empowerment hierzu auch eine Rolle. Dies im Sinne der Anerkennung durch die Fachkräfte, </w:t>
            </w:r>
            <w:proofErr w:type="gramStart"/>
            <w:r w:rsidRPr="000E7EB1">
              <w:rPr>
                <w:sz w:val="20"/>
                <w:szCs w:val="20"/>
              </w:rPr>
              <w:t>das</w:t>
            </w:r>
            <w:proofErr w:type="gramEnd"/>
            <w:r w:rsidRPr="000E7EB1">
              <w:rPr>
                <w:sz w:val="20"/>
                <w:szCs w:val="20"/>
              </w:rPr>
              <w:t xml:space="preserve"> Menschen mit Behinderung die Fähigkeit haben, für sich sprechen und handeln zu können.</w:t>
            </w:r>
          </w:p>
        </w:tc>
      </w:tr>
      <w:tr w:rsidR="00D87CB8" w:rsidRPr="00F00F2F" w14:paraId="636F056F"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tcPr>
          <w:p w14:paraId="6F3749B2" w14:textId="77777777" w:rsidR="00D87CB8" w:rsidRDefault="00D87CB8" w:rsidP="002D2CED">
            <w:pPr>
              <w:rPr>
                <w:sz w:val="20"/>
                <w:szCs w:val="20"/>
              </w:rPr>
            </w:pPr>
          </w:p>
        </w:tc>
        <w:tc>
          <w:tcPr>
            <w:tcW w:w="795" w:type="pct"/>
          </w:tcPr>
          <w:p w14:paraId="37132042"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Abgrenzung</w:t>
            </w:r>
          </w:p>
        </w:tc>
        <w:tc>
          <w:tcPr>
            <w:tcW w:w="1792" w:type="pct"/>
          </w:tcPr>
          <w:p w14:paraId="73C961B6"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0E7EB1">
              <w:rPr>
                <w:sz w:val="20"/>
                <w:szCs w:val="20"/>
              </w:rPr>
              <w:t>Power-</w:t>
            </w:r>
            <w:proofErr w:type="spellStart"/>
            <w:r w:rsidRPr="000E7EB1">
              <w:rPr>
                <w:sz w:val="20"/>
                <w:szCs w:val="20"/>
              </w:rPr>
              <w:t>ressources</w:t>
            </w:r>
            <w:proofErr w:type="spellEnd"/>
            <w:r w:rsidRPr="000E7EB1">
              <w:rPr>
                <w:sz w:val="20"/>
                <w:szCs w:val="20"/>
              </w:rPr>
              <w:t xml:space="preserve"> entfällt im Rahmen der Forschungsarbeit. </w:t>
            </w:r>
          </w:p>
        </w:tc>
        <w:tc>
          <w:tcPr>
            <w:tcW w:w="1793" w:type="pct"/>
          </w:tcPr>
          <w:p w14:paraId="0FB665E0" w14:textId="77777777" w:rsidR="00D87CB8" w:rsidRPr="0096016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0E7EB1">
              <w:rPr>
                <w:sz w:val="20"/>
                <w:szCs w:val="20"/>
              </w:rPr>
              <w:t>Im Kontext des offenen Kodierens wurde keine Passage identifiziert, bei der der Fokus auf materiellen Ressourcen und deren Verwaltung oder Macht lag.</w:t>
            </w:r>
          </w:p>
        </w:tc>
      </w:tr>
      <w:tr w:rsidR="00D87CB8" w:rsidRPr="00F00F2F" w14:paraId="2EE4045E"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353062F8" w14:textId="77777777" w:rsidR="00D87CB8" w:rsidRDefault="00D87CB8" w:rsidP="002D2CED">
            <w:pPr>
              <w:rPr>
                <w:sz w:val="20"/>
                <w:szCs w:val="20"/>
              </w:rPr>
            </w:pPr>
          </w:p>
        </w:tc>
        <w:tc>
          <w:tcPr>
            <w:tcW w:w="795" w:type="pct"/>
          </w:tcPr>
          <w:p w14:paraId="1C51904C"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Problematisierung</w:t>
            </w:r>
          </w:p>
        </w:tc>
        <w:tc>
          <w:tcPr>
            <w:tcW w:w="1792" w:type="pct"/>
          </w:tcPr>
          <w:p w14:paraId="0019830A" w14:textId="77777777" w:rsidR="00D87CB8" w:rsidRPr="000E7EB1"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sidRPr="000E7EB1">
              <w:rPr>
                <w:sz w:val="20"/>
                <w:szCs w:val="20"/>
              </w:rPr>
              <w:t>Begriff</w:t>
            </w:r>
            <w:r>
              <w:rPr>
                <w:sz w:val="20"/>
                <w:szCs w:val="20"/>
              </w:rPr>
              <w:t>e</w:t>
            </w:r>
            <w:r w:rsidRPr="000E7EB1">
              <w:rPr>
                <w:sz w:val="20"/>
                <w:szCs w:val="20"/>
              </w:rPr>
              <w:t xml:space="preserve"> „Verantwortungsbereitschaft“ oder „Verantwortungsfreudigkeit“ </w:t>
            </w:r>
            <w:r>
              <w:rPr>
                <w:sz w:val="20"/>
                <w:szCs w:val="20"/>
              </w:rPr>
              <w:t>entfallen.</w:t>
            </w:r>
          </w:p>
        </w:tc>
        <w:tc>
          <w:tcPr>
            <w:tcW w:w="1793" w:type="pct"/>
          </w:tcPr>
          <w:p w14:paraId="789A70E2"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Im</w:t>
            </w:r>
            <w:r w:rsidRPr="000E7EB1">
              <w:rPr>
                <w:sz w:val="20"/>
                <w:szCs w:val="20"/>
              </w:rPr>
              <w:t xml:space="preserve"> IW</w:t>
            </w:r>
            <w:r>
              <w:rPr>
                <w:sz w:val="20"/>
                <w:szCs w:val="20"/>
              </w:rPr>
              <w:t xml:space="preserve"> gibt es diese von Osterieder &amp; Banze aus Lehrpläne entnommenen Begriffe</w:t>
            </w:r>
            <w:r w:rsidRPr="000E7EB1">
              <w:rPr>
                <w:sz w:val="20"/>
                <w:szCs w:val="20"/>
              </w:rPr>
              <w:t xml:space="preserve"> nicht</w:t>
            </w:r>
            <w:r>
              <w:rPr>
                <w:sz w:val="20"/>
                <w:szCs w:val="20"/>
              </w:rPr>
              <w:t>. Da es sich folglich</w:t>
            </w:r>
            <w:r w:rsidRPr="000E7EB1">
              <w:rPr>
                <w:sz w:val="20"/>
                <w:szCs w:val="20"/>
              </w:rPr>
              <w:t xml:space="preserve"> um den schulischen Kontext handelt</w:t>
            </w:r>
            <w:r>
              <w:rPr>
                <w:sz w:val="20"/>
                <w:szCs w:val="20"/>
              </w:rPr>
              <w:t>, entfällt die Kodierung mit diesen Begriffen.</w:t>
            </w:r>
          </w:p>
          <w:p w14:paraId="34222DCF" w14:textId="77777777" w:rsidR="00D16F4B" w:rsidRDefault="00D16F4B" w:rsidP="002D2CED">
            <w:pPr>
              <w:cnfStyle w:val="000000000000" w:firstRow="0" w:lastRow="0" w:firstColumn="0" w:lastColumn="0" w:oddVBand="0" w:evenVBand="0" w:oddHBand="0" w:evenHBand="0" w:firstRowFirstColumn="0" w:firstRowLastColumn="0" w:lastRowFirstColumn="0" w:lastRowLastColumn="0"/>
              <w:rPr>
                <w:sz w:val="20"/>
                <w:szCs w:val="20"/>
              </w:rPr>
            </w:pPr>
          </w:p>
          <w:p w14:paraId="6DC4B86C" w14:textId="77777777" w:rsidR="00D16F4B" w:rsidRPr="000E7EB1" w:rsidRDefault="00D16F4B" w:rsidP="002D2CED">
            <w:pPr>
              <w:cnfStyle w:val="000000000000" w:firstRow="0" w:lastRow="0" w:firstColumn="0" w:lastColumn="0" w:oddVBand="0" w:evenVBand="0" w:oddHBand="0" w:evenHBand="0" w:firstRowFirstColumn="0" w:firstRowLastColumn="0" w:lastRowFirstColumn="0" w:lastRowLastColumn="0"/>
              <w:rPr>
                <w:sz w:val="20"/>
                <w:szCs w:val="20"/>
              </w:rPr>
            </w:pPr>
          </w:p>
        </w:tc>
      </w:tr>
      <w:tr w:rsidR="00D87CB8" w:rsidRPr="00F00F2F" w14:paraId="65472C6C"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val="restart"/>
          </w:tcPr>
          <w:p w14:paraId="7C885872" w14:textId="77777777" w:rsidR="00D87CB8" w:rsidRDefault="00D87CB8" w:rsidP="002D2CED">
            <w:pPr>
              <w:rPr>
                <w:sz w:val="20"/>
                <w:szCs w:val="20"/>
              </w:rPr>
            </w:pPr>
            <w:r>
              <w:rPr>
                <w:sz w:val="20"/>
                <w:szCs w:val="20"/>
              </w:rPr>
              <w:lastRenderedPageBreak/>
              <w:t>Konformität</w:t>
            </w:r>
          </w:p>
        </w:tc>
        <w:tc>
          <w:tcPr>
            <w:tcW w:w="795" w:type="pct"/>
          </w:tcPr>
          <w:p w14:paraId="15B60680"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Beschreibung</w:t>
            </w:r>
          </w:p>
        </w:tc>
        <w:tc>
          <w:tcPr>
            <w:tcW w:w="1792" w:type="pct"/>
          </w:tcPr>
          <w:p w14:paraId="0324245C" w14:textId="77777777" w:rsidR="00D87CB8" w:rsidRPr="000E7EB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Übernahme von nur „</w:t>
            </w:r>
            <w:proofErr w:type="spellStart"/>
            <w:r>
              <w:rPr>
                <w:sz w:val="20"/>
                <w:szCs w:val="20"/>
              </w:rPr>
              <w:t>conformity</w:t>
            </w:r>
            <w:proofErr w:type="spellEnd"/>
            <w:r>
              <w:rPr>
                <w:sz w:val="20"/>
                <w:szCs w:val="20"/>
              </w:rPr>
              <w:t>-interpersonell“</w:t>
            </w:r>
          </w:p>
        </w:tc>
        <w:tc>
          <w:tcPr>
            <w:tcW w:w="1793" w:type="pct"/>
          </w:tcPr>
          <w:p w14:paraId="1C939851" w14:textId="77777777" w:rsidR="00D87CB8" w:rsidRPr="000E7EB1"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595C58">
              <w:rPr>
                <w:sz w:val="20"/>
                <w:szCs w:val="20"/>
              </w:rPr>
              <w:t xml:space="preserve">Im Zuge des GT-Prozesses waren v.a. die Aspekte interessant für die Kodierung, die den Rahmen des </w:t>
            </w:r>
            <w:proofErr w:type="spellStart"/>
            <w:r w:rsidRPr="00595C58">
              <w:rPr>
                <w:sz w:val="20"/>
                <w:szCs w:val="20"/>
              </w:rPr>
              <w:t>conformity</w:t>
            </w:r>
            <w:proofErr w:type="spellEnd"/>
            <w:r w:rsidRPr="00595C58">
              <w:rPr>
                <w:sz w:val="20"/>
                <w:szCs w:val="20"/>
              </w:rPr>
              <w:t>-interpersonell darstellen. Es gab in den Texten keine Stelle zu kodieren, in der eine Person explizierte, dass man sich an die Vorgaben aus der Institution halten müsse. Sicherlich gibt es allgemeingültige Vorgaben, die jedoch als solche in den Fällen nicht benannt wurden. Daher entfällt "</w:t>
            </w:r>
            <w:proofErr w:type="spellStart"/>
            <w:r w:rsidRPr="00595C58">
              <w:rPr>
                <w:sz w:val="20"/>
                <w:szCs w:val="20"/>
              </w:rPr>
              <w:t>confomity-rules</w:t>
            </w:r>
            <w:proofErr w:type="spellEnd"/>
            <w:r w:rsidRPr="00595C58">
              <w:rPr>
                <w:sz w:val="20"/>
                <w:szCs w:val="20"/>
              </w:rPr>
              <w:t>" und es wurde ausschließlich mit "interpersonell" kodiert.</w:t>
            </w:r>
          </w:p>
        </w:tc>
      </w:tr>
      <w:tr w:rsidR="00D87CB8" w:rsidRPr="00F00F2F" w14:paraId="53EA780F"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768029A3" w14:textId="77777777" w:rsidR="00D87CB8" w:rsidRDefault="00D87CB8" w:rsidP="002D2CED">
            <w:pPr>
              <w:rPr>
                <w:sz w:val="20"/>
                <w:szCs w:val="20"/>
              </w:rPr>
            </w:pPr>
          </w:p>
        </w:tc>
        <w:tc>
          <w:tcPr>
            <w:tcW w:w="795" w:type="pct"/>
          </w:tcPr>
          <w:p w14:paraId="2DCA3C77"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w:t>
            </w:r>
          </w:p>
        </w:tc>
        <w:tc>
          <w:tcPr>
            <w:tcW w:w="1792" w:type="pct"/>
          </w:tcPr>
          <w:p w14:paraId="427E6A96"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FA6584">
              <w:rPr>
                <w:sz w:val="20"/>
                <w:szCs w:val="20"/>
              </w:rPr>
              <w:t>Bei dem Schlüsselbegriff</w:t>
            </w:r>
            <w:r>
              <w:rPr>
                <w:sz w:val="20"/>
                <w:szCs w:val="20"/>
              </w:rPr>
              <w:t xml:space="preserve"> </w:t>
            </w:r>
            <w:r w:rsidRPr="00FA6584">
              <w:rPr>
                <w:sz w:val="20"/>
                <w:szCs w:val="20"/>
              </w:rPr>
              <w:t xml:space="preserve">„Rücksichtnahme“ besteht die Schwierigkeit der Abgrenzung von </w:t>
            </w:r>
            <w:proofErr w:type="spellStart"/>
            <w:r w:rsidRPr="00FA6584">
              <w:rPr>
                <w:sz w:val="20"/>
                <w:szCs w:val="20"/>
              </w:rPr>
              <w:t>conformity</w:t>
            </w:r>
            <w:proofErr w:type="spellEnd"/>
            <w:r w:rsidRPr="00FA6584">
              <w:rPr>
                <w:sz w:val="20"/>
                <w:szCs w:val="20"/>
              </w:rPr>
              <w:t xml:space="preserve"> ̶ interpersonal</w:t>
            </w:r>
            <w:r>
              <w:rPr>
                <w:sz w:val="20"/>
                <w:szCs w:val="20"/>
              </w:rPr>
              <w:t xml:space="preserve"> und</w:t>
            </w:r>
            <w:r w:rsidRPr="00FA6584">
              <w:rPr>
                <w:sz w:val="20"/>
                <w:szCs w:val="20"/>
              </w:rPr>
              <w:t xml:space="preserve"> zu Benevolence </w:t>
            </w:r>
            <w:r>
              <w:rPr>
                <w:sz w:val="20"/>
                <w:szCs w:val="20"/>
              </w:rPr>
              <w:t>-</w:t>
            </w:r>
            <w:proofErr w:type="spellStart"/>
            <w:r>
              <w:rPr>
                <w:sz w:val="20"/>
                <w:szCs w:val="20"/>
              </w:rPr>
              <w:t>C</w:t>
            </w:r>
            <w:r w:rsidRPr="00FA6584">
              <w:rPr>
                <w:sz w:val="20"/>
                <w:szCs w:val="20"/>
              </w:rPr>
              <w:t>aring</w:t>
            </w:r>
            <w:proofErr w:type="spellEnd"/>
            <w:r w:rsidRPr="00FA6584">
              <w:rPr>
                <w:sz w:val="20"/>
                <w:szCs w:val="20"/>
              </w:rPr>
              <w:t xml:space="preserve">. </w:t>
            </w:r>
          </w:p>
        </w:tc>
        <w:tc>
          <w:tcPr>
            <w:tcW w:w="1793" w:type="pct"/>
          </w:tcPr>
          <w:p w14:paraId="06CBCFAB" w14:textId="77777777" w:rsidR="00D87CB8" w:rsidRPr="00595C5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sidRPr="00FA6584">
              <w:rPr>
                <w:sz w:val="20"/>
                <w:szCs w:val="20"/>
              </w:rPr>
              <w:t xml:space="preserve">Bei letzterem Wert erfolgt die Rücksichtnahme aus dem Motiv der Fürsorge für andere und deren Wohlbefinden. Bei </w:t>
            </w:r>
            <w:proofErr w:type="spellStart"/>
            <w:r w:rsidRPr="00FA6584">
              <w:rPr>
                <w:sz w:val="20"/>
                <w:szCs w:val="20"/>
              </w:rPr>
              <w:t>conformity</w:t>
            </w:r>
            <w:proofErr w:type="spellEnd"/>
            <w:r w:rsidRPr="00FA6584">
              <w:rPr>
                <w:sz w:val="20"/>
                <w:szCs w:val="20"/>
              </w:rPr>
              <w:t xml:space="preserve"> ̶ interpersonal ist die Motivation eher eine Anpassung an die soziale Norm oder die Verhaltenspräferenz der Mehrheit, um nicht negativ auf- zufallen.</w:t>
            </w:r>
            <w:r>
              <w:rPr>
                <w:sz w:val="20"/>
                <w:szCs w:val="20"/>
              </w:rPr>
              <w:t xml:space="preserve"> </w:t>
            </w:r>
            <w:r w:rsidRPr="00FA6584">
              <w:rPr>
                <w:sz w:val="20"/>
                <w:szCs w:val="20"/>
              </w:rPr>
              <w:t xml:space="preserve">Fällt der Begriff „Gehorsam“, wird dann </w:t>
            </w:r>
            <w:proofErr w:type="spellStart"/>
            <w:r w:rsidRPr="00FA6584">
              <w:rPr>
                <w:sz w:val="20"/>
                <w:szCs w:val="20"/>
              </w:rPr>
              <w:t>conformity</w:t>
            </w:r>
            <w:proofErr w:type="spellEnd"/>
            <w:r w:rsidRPr="00FA6584">
              <w:rPr>
                <w:sz w:val="20"/>
                <w:szCs w:val="20"/>
              </w:rPr>
              <w:t xml:space="preserve"> ̶ </w:t>
            </w:r>
            <w:proofErr w:type="spellStart"/>
            <w:r w:rsidRPr="00FA6584">
              <w:rPr>
                <w:sz w:val="20"/>
                <w:szCs w:val="20"/>
              </w:rPr>
              <w:t>rules</w:t>
            </w:r>
            <w:proofErr w:type="spellEnd"/>
            <w:r w:rsidRPr="00FA6584">
              <w:rPr>
                <w:sz w:val="20"/>
                <w:szCs w:val="20"/>
              </w:rPr>
              <w:t xml:space="preserve"> kodiert, wenn es um Gehorsam gegenüber dem Gesetz oder festgelegten Regeln geht. Falls wiederum </w:t>
            </w:r>
            <w:proofErr w:type="spellStart"/>
            <w:r w:rsidRPr="00FA6584">
              <w:rPr>
                <w:sz w:val="20"/>
                <w:szCs w:val="20"/>
              </w:rPr>
              <w:t>Gehörsam</w:t>
            </w:r>
            <w:proofErr w:type="spellEnd"/>
            <w:r w:rsidRPr="00FA6584">
              <w:rPr>
                <w:sz w:val="20"/>
                <w:szCs w:val="20"/>
              </w:rPr>
              <w:t xml:space="preserve"> gegenüber einer Person und deren willkürlichen Anweisungen gemeint ist, wäre </w:t>
            </w:r>
            <w:proofErr w:type="spellStart"/>
            <w:r w:rsidRPr="00FA6584">
              <w:rPr>
                <w:sz w:val="20"/>
                <w:szCs w:val="20"/>
              </w:rPr>
              <w:t>conformity</w:t>
            </w:r>
            <w:proofErr w:type="spellEnd"/>
            <w:r w:rsidRPr="00FA6584">
              <w:rPr>
                <w:sz w:val="20"/>
                <w:szCs w:val="20"/>
              </w:rPr>
              <w:t xml:space="preserve"> ̶ interpersonal zu kodieren.</w:t>
            </w:r>
          </w:p>
        </w:tc>
      </w:tr>
      <w:tr w:rsidR="00D87CB8" w:rsidRPr="00F00F2F" w14:paraId="7ED9DF38"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tcPr>
          <w:p w14:paraId="650CC657" w14:textId="77777777" w:rsidR="00D87CB8" w:rsidRDefault="00D87CB8" w:rsidP="002D2CED">
            <w:pPr>
              <w:rPr>
                <w:sz w:val="20"/>
                <w:szCs w:val="20"/>
              </w:rPr>
            </w:pPr>
          </w:p>
        </w:tc>
        <w:tc>
          <w:tcPr>
            <w:tcW w:w="795" w:type="pct"/>
          </w:tcPr>
          <w:p w14:paraId="3621F137"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Problematisierung</w:t>
            </w:r>
          </w:p>
        </w:tc>
        <w:tc>
          <w:tcPr>
            <w:tcW w:w="1792" w:type="pct"/>
          </w:tcPr>
          <w:p w14:paraId="4F2F9D40"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FA6584">
              <w:rPr>
                <w:sz w:val="20"/>
                <w:szCs w:val="20"/>
              </w:rPr>
              <w:t>ANPASSUNGEN:</w:t>
            </w:r>
            <w:r>
              <w:rPr>
                <w:sz w:val="20"/>
                <w:szCs w:val="20"/>
              </w:rPr>
              <w:t xml:space="preserve"> </w:t>
            </w:r>
            <w:r w:rsidRPr="00FA6584">
              <w:rPr>
                <w:sz w:val="20"/>
                <w:szCs w:val="20"/>
              </w:rPr>
              <w:t>Für die Forschungsarbeit wurden die beiden Unterkategorien</w:t>
            </w:r>
            <w:r>
              <w:rPr>
                <w:sz w:val="20"/>
                <w:szCs w:val="20"/>
              </w:rPr>
              <w:t xml:space="preserve"> B.-</w:t>
            </w:r>
            <w:proofErr w:type="spellStart"/>
            <w:r>
              <w:rPr>
                <w:sz w:val="20"/>
                <w:szCs w:val="20"/>
              </w:rPr>
              <w:t>rules</w:t>
            </w:r>
            <w:proofErr w:type="spellEnd"/>
            <w:r>
              <w:rPr>
                <w:sz w:val="20"/>
                <w:szCs w:val="20"/>
              </w:rPr>
              <w:t xml:space="preserve"> und B.-</w:t>
            </w:r>
            <w:proofErr w:type="spellStart"/>
            <w:r>
              <w:rPr>
                <w:sz w:val="20"/>
                <w:szCs w:val="20"/>
              </w:rPr>
              <w:t>dependability</w:t>
            </w:r>
            <w:proofErr w:type="spellEnd"/>
            <w:r w:rsidRPr="00FA6584">
              <w:rPr>
                <w:sz w:val="20"/>
                <w:szCs w:val="20"/>
              </w:rPr>
              <w:t xml:space="preserve"> von Osterieder &amp; Banze in Benevolence</w:t>
            </w:r>
            <w:r>
              <w:rPr>
                <w:sz w:val="20"/>
                <w:szCs w:val="20"/>
              </w:rPr>
              <w:t xml:space="preserve"> im Kontext organisationalen Rahmens und Denkens,</w:t>
            </w:r>
            <w:r w:rsidRPr="00FA6584">
              <w:rPr>
                <w:sz w:val="20"/>
                <w:szCs w:val="20"/>
              </w:rPr>
              <w:t xml:space="preserve"> zusammengefasst. Es bleibt jedoch wichtig, zwischen Pflichterfüllung (im Sinne der Einhaltung von Regeln) und Verantwortungsübernahme für das Wohl anderer klar zu unterscheiden.</w:t>
            </w:r>
          </w:p>
        </w:tc>
        <w:tc>
          <w:tcPr>
            <w:tcW w:w="1793" w:type="pct"/>
          </w:tcPr>
          <w:p w14:paraId="70B08B05" w14:textId="77777777" w:rsidR="00D87CB8" w:rsidRPr="00FA6584"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FA6584">
              <w:rPr>
                <w:sz w:val="20"/>
                <w:szCs w:val="20"/>
              </w:rPr>
              <w:t xml:space="preserve">Pflichterfüllung und Verantwortungsbewusstsein werden häufig in einem Atemzug genannt. Im Einzelfall ist genau zu prüfen, ob es sich um Verantwortungsübernahme im Sinne der Einhaltung von Regeln als solcher handelt, dann wird </w:t>
            </w:r>
            <w:proofErr w:type="spellStart"/>
            <w:r w:rsidRPr="00FA6584">
              <w:rPr>
                <w:sz w:val="20"/>
                <w:szCs w:val="20"/>
              </w:rPr>
              <w:t>conformity</w:t>
            </w:r>
            <w:proofErr w:type="spellEnd"/>
            <w:r w:rsidRPr="00FA6584">
              <w:rPr>
                <w:sz w:val="20"/>
                <w:szCs w:val="20"/>
              </w:rPr>
              <w:t xml:space="preserve"> ̶ </w:t>
            </w:r>
            <w:proofErr w:type="spellStart"/>
            <w:r w:rsidRPr="00FA6584">
              <w:rPr>
                <w:sz w:val="20"/>
                <w:szCs w:val="20"/>
              </w:rPr>
              <w:t>rules</w:t>
            </w:r>
            <w:proofErr w:type="spellEnd"/>
            <w:r w:rsidRPr="00FA6584">
              <w:rPr>
                <w:sz w:val="20"/>
                <w:szCs w:val="20"/>
              </w:rPr>
              <w:t xml:space="preserve"> kodiert, oder ob es sich um Verantwortung für andere übernehmen handelt (</w:t>
            </w:r>
            <w:proofErr w:type="spellStart"/>
            <w:r w:rsidRPr="00FA6584">
              <w:rPr>
                <w:sz w:val="20"/>
                <w:szCs w:val="20"/>
              </w:rPr>
              <w:t>benevolence</w:t>
            </w:r>
            <w:proofErr w:type="spellEnd"/>
            <w:r w:rsidRPr="00FA6584">
              <w:rPr>
                <w:sz w:val="20"/>
                <w:szCs w:val="20"/>
              </w:rPr>
              <w:t xml:space="preserve"> ̶ </w:t>
            </w:r>
            <w:proofErr w:type="spellStart"/>
            <w:r w:rsidRPr="00FA6584">
              <w:rPr>
                <w:sz w:val="20"/>
                <w:szCs w:val="20"/>
              </w:rPr>
              <w:t>dependability</w:t>
            </w:r>
            <w:proofErr w:type="spellEnd"/>
            <w:r w:rsidRPr="00FA6584">
              <w:rPr>
                <w:sz w:val="20"/>
                <w:szCs w:val="20"/>
              </w:rPr>
              <w:t>).</w:t>
            </w:r>
          </w:p>
          <w:p w14:paraId="3B65BAF3"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p>
          <w:p w14:paraId="4F9EEA4D" w14:textId="77777777" w:rsidR="00D16F4B" w:rsidRDefault="00D16F4B" w:rsidP="002D2CED">
            <w:pPr>
              <w:cnfStyle w:val="000000100000" w:firstRow="0" w:lastRow="0" w:firstColumn="0" w:lastColumn="0" w:oddVBand="0" w:evenVBand="0" w:oddHBand="1" w:evenHBand="0" w:firstRowFirstColumn="0" w:firstRowLastColumn="0" w:lastRowFirstColumn="0" w:lastRowLastColumn="0"/>
              <w:rPr>
                <w:sz w:val="20"/>
                <w:szCs w:val="20"/>
              </w:rPr>
            </w:pPr>
          </w:p>
          <w:p w14:paraId="00CE30E2" w14:textId="77777777" w:rsidR="00D16F4B" w:rsidRDefault="00D16F4B" w:rsidP="002D2CED">
            <w:pPr>
              <w:cnfStyle w:val="000000100000" w:firstRow="0" w:lastRow="0" w:firstColumn="0" w:lastColumn="0" w:oddVBand="0" w:evenVBand="0" w:oddHBand="1" w:evenHBand="0" w:firstRowFirstColumn="0" w:firstRowLastColumn="0" w:lastRowFirstColumn="0" w:lastRowLastColumn="0"/>
              <w:rPr>
                <w:sz w:val="20"/>
                <w:szCs w:val="20"/>
              </w:rPr>
            </w:pPr>
          </w:p>
          <w:p w14:paraId="3FD238CD" w14:textId="77777777" w:rsidR="00D16F4B" w:rsidRPr="00595C58" w:rsidRDefault="00D16F4B" w:rsidP="002D2CED">
            <w:pPr>
              <w:cnfStyle w:val="000000100000" w:firstRow="0" w:lastRow="0" w:firstColumn="0" w:lastColumn="0" w:oddVBand="0" w:evenVBand="0" w:oddHBand="1" w:evenHBand="0" w:firstRowFirstColumn="0" w:firstRowLastColumn="0" w:lastRowFirstColumn="0" w:lastRowLastColumn="0"/>
              <w:rPr>
                <w:sz w:val="20"/>
                <w:szCs w:val="20"/>
              </w:rPr>
            </w:pPr>
          </w:p>
        </w:tc>
      </w:tr>
      <w:tr w:rsidR="00D87CB8" w:rsidRPr="00F00F2F" w14:paraId="130C5310" w14:textId="77777777" w:rsidTr="00D16F4B">
        <w:tc>
          <w:tcPr>
            <w:cnfStyle w:val="001000000000" w:firstRow="0" w:lastRow="0" w:firstColumn="1" w:lastColumn="0" w:oddVBand="0" w:evenVBand="0" w:oddHBand="0" w:evenHBand="0" w:firstRowFirstColumn="0" w:firstRowLastColumn="0" w:lastRowFirstColumn="0" w:lastRowLastColumn="0"/>
            <w:tcW w:w="620" w:type="pct"/>
          </w:tcPr>
          <w:p w14:paraId="075563E1" w14:textId="77777777" w:rsidR="00D87CB8" w:rsidRDefault="00D87CB8" w:rsidP="002D2CED">
            <w:pPr>
              <w:rPr>
                <w:sz w:val="20"/>
                <w:szCs w:val="20"/>
              </w:rPr>
            </w:pPr>
            <w:r>
              <w:rPr>
                <w:sz w:val="20"/>
                <w:szCs w:val="20"/>
              </w:rPr>
              <w:lastRenderedPageBreak/>
              <w:t>Hedonismus</w:t>
            </w:r>
          </w:p>
        </w:tc>
        <w:tc>
          <w:tcPr>
            <w:tcW w:w="795" w:type="pct"/>
          </w:tcPr>
          <w:p w14:paraId="71E55E04"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w:t>
            </w:r>
          </w:p>
        </w:tc>
        <w:tc>
          <w:tcPr>
            <w:tcW w:w="1792" w:type="pct"/>
          </w:tcPr>
          <w:p w14:paraId="0754B0E6"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HINWEIS: Hedonismus kann bei Osterieder &amp; Banze nicht immer zu „</w:t>
            </w:r>
            <w:proofErr w:type="spellStart"/>
            <w:r>
              <w:rPr>
                <w:sz w:val="20"/>
                <w:szCs w:val="20"/>
              </w:rPr>
              <w:t>selfdirection-thought</w:t>
            </w:r>
            <w:proofErr w:type="spellEnd"/>
            <w:r>
              <w:rPr>
                <w:sz w:val="20"/>
                <w:szCs w:val="20"/>
              </w:rPr>
              <w:t>“ und „</w:t>
            </w:r>
            <w:proofErr w:type="spellStart"/>
            <w:r>
              <w:rPr>
                <w:sz w:val="20"/>
                <w:szCs w:val="20"/>
              </w:rPr>
              <w:t>selfdirection-act</w:t>
            </w:r>
            <w:proofErr w:type="spellEnd"/>
            <w:r>
              <w:rPr>
                <w:sz w:val="20"/>
                <w:szCs w:val="20"/>
              </w:rPr>
              <w:t>“ abgegrenzt werden. Im Zuge der Forschung wird hier nicht zwischen zwei Formen der Selbstbestimmung differenziert. Beide Begriffe laufen unter einem Begriff zusammen.</w:t>
            </w:r>
          </w:p>
        </w:tc>
        <w:tc>
          <w:tcPr>
            <w:tcW w:w="1793" w:type="pct"/>
          </w:tcPr>
          <w:p w14:paraId="57131B54" w14:textId="77777777" w:rsidR="00D87CB8" w:rsidRPr="00595C5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Sollten sich die Kodes zu sehr ähneln, wird mit beiden Definitionen kodiert.</w:t>
            </w:r>
          </w:p>
        </w:tc>
      </w:tr>
      <w:tr w:rsidR="00D87CB8" w:rsidRPr="00F00F2F" w14:paraId="0A222CA6"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val="restart"/>
          </w:tcPr>
          <w:p w14:paraId="5ADB55B7" w14:textId="77777777" w:rsidR="00D87CB8" w:rsidRDefault="00D87CB8" w:rsidP="002D2CED">
            <w:pPr>
              <w:rPr>
                <w:sz w:val="20"/>
                <w:szCs w:val="20"/>
              </w:rPr>
            </w:pPr>
            <w:r>
              <w:rPr>
                <w:sz w:val="20"/>
                <w:szCs w:val="20"/>
              </w:rPr>
              <w:t>Selbstbestimmung</w:t>
            </w:r>
          </w:p>
        </w:tc>
        <w:tc>
          <w:tcPr>
            <w:tcW w:w="795" w:type="pct"/>
          </w:tcPr>
          <w:p w14:paraId="2B744392"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Beschreibung </w:t>
            </w:r>
          </w:p>
        </w:tc>
        <w:tc>
          <w:tcPr>
            <w:tcW w:w="1792" w:type="pct"/>
          </w:tcPr>
          <w:p w14:paraId="2650F5B5"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Die beiden Kategorien „</w:t>
            </w:r>
            <w:proofErr w:type="spellStart"/>
            <w:r>
              <w:rPr>
                <w:sz w:val="20"/>
                <w:szCs w:val="20"/>
              </w:rPr>
              <w:t>selfdirection-thought</w:t>
            </w:r>
            <w:proofErr w:type="spellEnd"/>
            <w:r>
              <w:rPr>
                <w:sz w:val="20"/>
                <w:szCs w:val="20"/>
              </w:rPr>
              <w:t>“ und „</w:t>
            </w:r>
            <w:proofErr w:type="spellStart"/>
            <w:r>
              <w:rPr>
                <w:sz w:val="20"/>
                <w:szCs w:val="20"/>
              </w:rPr>
              <w:t>selfdirection-act</w:t>
            </w:r>
            <w:proofErr w:type="spellEnd"/>
            <w:r>
              <w:rPr>
                <w:sz w:val="20"/>
                <w:szCs w:val="20"/>
              </w:rPr>
              <w:t>“   werden zusammengefasst.</w:t>
            </w:r>
          </w:p>
        </w:tc>
        <w:tc>
          <w:tcPr>
            <w:tcW w:w="1793" w:type="pct"/>
          </w:tcPr>
          <w:p w14:paraId="0AEEE70A" w14:textId="77777777" w:rsidR="00D87CB8" w:rsidRPr="00595C5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130A4A">
              <w:rPr>
                <w:sz w:val="20"/>
                <w:szCs w:val="20"/>
              </w:rPr>
              <w:t>Selbstbestimmtes Denken und Handeln verschmelzen im IW-Kontext, da Teammitglieder sowohl das Denken und Urteilen von Bewohner*innen ernst nehmen und sie zum Handeln motivieren, als auch eigenständig urteilen und agieren müssen, wenn es die Situation erfordert. Eine klare Trennung wie bei Osterieder &amp; Banze ist daher nicht sinnvoll. Der Praxisvollzug zeigt stets einen Denk-Handlungs-Prozess.</w:t>
            </w:r>
          </w:p>
        </w:tc>
      </w:tr>
      <w:tr w:rsidR="00D87CB8" w:rsidRPr="00F00F2F" w14:paraId="3D9518C7"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5C1790C1" w14:textId="77777777" w:rsidR="00D87CB8" w:rsidRDefault="00D87CB8" w:rsidP="002D2CED">
            <w:pPr>
              <w:rPr>
                <w:sz w:val="20"/>
                <w:szCs w:val="20"/>
              </w:rPr>
            </w:pPr>
          </w:p>
        </w:tc>
        <w:tc>
          <w:tcPr>
            <w:tcW w:w="795" w:type="pct"/>
          </w:tcPr>
          <w:p w14:paraId="0F191BA6"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w:t>
            </w:r>
          </w:p>
        </w:tc>
        <w:tc>
          <w:tcPr>
            <w:tcW w:w="1792" w:type="pct"/>
          </w:tcPr>
          <w:p w14:paraId="5146797C"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Die Definitionen/ Formulierung zur Abgrenzung entfallen.</w:t>
            </w:r>
          </w:p>
        </w:tc>
        <w:tc>
          <w:tcPr>
            <w:tcW w:w="1793" w:type="pct"/>
          </w:tcPr>
          <w:p w14:paraId="17AF5D25" w14:textId="77777777" w:rsidR="00D87CB8" w:rsidRPr="00595C5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Entfällt</w:t>
            </w:r>
          </w:p>
        </w:tc>
      </w:tr>
      <w:tr w:rsidR="00D87CB8" w:rsidRPr="00F00F2F" w14:paraId="00BFAB84"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val="restart"/>
          </w:tcPr>
          <w:p w14:paraId="1BE456F2" w14:textId="77777777" w:rsidR="00D87CB8" w:rsidRDefault="00D87CB8" w:rsidP="002D2CED">
            <w:pPr>
              <w:rPr>
                <w:sz w:val="20"/>
                <w:szCs w:val="20"/>
              </w:rPr>
            </w:pPr>
            <w:r>
              <w:rPr>
                <w:sz w:val="20"/>
                <w:szCs w:val="20"/>
              </w:rPr>
              <w:t>Tradition</w:t>
            </w:r>
          </w:p>
        </w:tc>
        <w:tc>
          <w:tcPr>
            <w:tcW w:w="795" w:type="pct"/>
          </w:tcPr>
          <w:p w14:paraId="21E854C9"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Beschreibung</w:t>
            </w:r>
          </w:p>
        </w:tc>
        <w:tc>
          <w:tcPr>
            <w:tcW w:w="1792" w:type="pct"/>
          </w:tcPr>
          <w:p w14:paraId="690978CF"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ERGÄNZUNG: Tradition wird nur auf den organisationalen Kontext eigerahmt</w:t>
            </w:r>
          </w:p>
        </w:tc>
        <w:tc>
          <w:tcPr>
            <w:tcW w:w="1793" w:type="pct"/>
          </w:tcPr>
          <w:p w14:paraId="2B6C9C94"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130A4A">
              <w:rPr>
                <w:sz w:val="20"/>
                <w:szCs w:val="20"/>
              </w:rPr>
              <w:t xml:space="preserve">Im Kontext des IW bezieht sich Tradition vorwiegend auf den </w:t>
            </w:r>
            <w:proofErr w:type="spellStart"/>
            <w:r w:rsidRPr="00130A4A">
              <w:rPr>
                <w:sz w:val="20"/>
                <w:szCs w:val="20"/>
              </w:rPr>
              <w:t>organisationellen</w:t>
            </w:r>
            <w:proofErr w:type="spellEnd"/>
            <w:r w:rsidRPr="00130A4A">
              <w:rPr>
                <w:sz w:val="20"/>
                <w:szCs w:val="20"/>
              </w:rPr>
              <w:t xml:space="preserve"> oder auch institutionellen Rahmen. Was Osterieder und Banze als "in-group" bezeichnen stellt im Rahmen dieser Forschung die Wohngruppe und die Organisation dar. So kann es innerhalb dieser eigene Riten und Traditionen sowohl unter den Teammitgliedern als auch den Bewohner*innen sowie beiden </w:t>
            </w:r>
            <w:proofErr w:type="spellStart"/>
            <w:r w:rsidRPr="00130A4A">
              <w:rPr>
                <w:sz w:val="20"/>
                <w:szCs w:val="20"/>
              </w:rPr>
              <w:t>Aktuer</w:t>
            </w:r>
            <w:proofErr w:type="spellEnd"/>
            <w:r w:rsidRPr="00130A4A">
              <w:rPr>
                <w:sz w:val="20"/>
                <w:szCs w:val="20"/>
              </w:rPr>
              <w:t xml:space="preserve">*innen geben. Ebenso kann es sein, dass eigene religiöse Glaubenssätze im </w:t>
            </w:r>
            <w:proofErr w:type="gramStart"/>
            <w:r w:rsidRPr="00130A4A">
              <w:rPr>
                <w:sz w:val="20"/>
                <w:szCs w:val="20"/>
              </w:rPr>
              <w:t>IW Einfluss</w:t>
            </w:r>
            <w:proofErr w:type="gramEnd"/>
            <w:r w:rsidRPr="00130A4A">
              <w:rPr>
                <w:sz w:val="20"/>
                <w:szCs w:val="20"/>
              </w:rPr>
              <w:t xml:space="preserve"> auf das Wohnen und Leben dort haben; beidseits (Bewohner*innen aber auch Team).</w:t>
            </w:r>
          </w:p>
        </w:tc>
      </w:tr>
      <w:tr w:rsidR="00D87CB8" w:rsidRPr="00F00F2F" w14:paraId="2208FEC0" w14:textId="77777777" w:rsidTr="00D16F4B">
        <w:tc>
          <w:tcPr>
            <w:cnfStyle w:val="001000000000" w:firstRow="0" w:lastRow="0" w:firstColumn="1" w:lastColumn="0" w:oddVBand="0" w:evenVBand="0" w:oddHBand="0" w:evenHBand="0" w:firstRowFirstColumn="0" w:firstRowLastColumn="0" w:lastRowFirstColumn="0" w:lastRowLastColumn="0"/>
            <w:tcW w:w="620" w:type="pct"/>
            <w:vMerge/>
          </w:tcPr>
          <w:p w14:paraId="5423A0F2" w14:textId="77777777" w:rsidR="00D87CB8" w:rsidRDefault="00D87CB8" w:rsidP="002D2CED">
            <w:pPr>
              <w:rPr>
                <w:sz w:val="20"/>
                <w:szCs w:val="20"/>
              </w:rPr>
            </w:pPr>
          </w:p>
        </w:tc>
        <w:tc>
          <w:tcPr>
            <w:tcW w:w="795" w:type="pct"/>
          </w:tcPr>
          <w:p w14:paraId="75E25461"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Abgrenzung</w:t>
            </w:r>
          </w:p>
        </w:tc>
        <w:tc>
          <w:tcPr>
            <w:tcW w:w="1792" w:type="pct"/>
          </w:tcPr>
          <w:p w14:paraId="06CC0B32"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HINWEIS: die Abgrenzungen zu „Konformität“ bleiben wie nach dem Regelwerk von Osterieder &amp; Banze vorgegeben bzw. verändert um die entsprechenden Anpassungen aus „Konformität“</w:t>
            </w:r>
          </w:p>
        </w:tc>
        <w:tc>
          <w:tcPr>
            <w:tcW w:w="1793" w:type="pct"/>
          </w:tcPr>
          <w:p w14:paraId="5CD63DAD" w14:textId="77777777" w:rsidR="00D87CB8" w:rsidRDefault="00D87CB8" w:rsidP="00D16F4B">
            <w:pPr>
              <w:ind w:right="144"/>
              <w:cnfStyle w:val="000000000000" w:firstRow="0" w:lastRow="0" w:firstColumn="0" w:lastColumn="0" w:oddVBand="0" w:evenVBand="0" w:oddHBand="0" w:evenHBand="0" w:firstRowFirstColumn="0" w:firstRowLastColumn="0" w:lastRowFirstColumn="0" w:lastRowLastColumn="0"/>
              <w:rPr>
                <w:sz w:val="20"/>
                <w:szCs w:val="20"/>
              </w:rPr>
            </w:pPr>
            <w:r w:rsidRPr="00130A4A">
              <w:rPr>
                <w:sz w:val="20"/>
                <w:szCs w:val="20"/>
              </w:rPr>
              <w:t>Mit Hinweis darauf, dass Selbstbestimmung und Konformität für die Fo</w:t>
            </w:r>
            <w:r>
              <w:rPr>
                <w:sz w:val="20"/>
                <w:szCs w:val="20"/>
              </w:rPr>
              <w:t>r</w:t>
            </w:r>
            <w:r w:rsidRPr="00130A4A">
              <w:rPr>
                <w:sz w:val="20"/>
                <w:szCs w:val="20"/>
              </w:rPr>
              <w:t>schung angepasst wurden, gelten die gleichen Kodier-Regeln, wie diese von Osterieder &amp; Banze. Tradition ist nicht mit der Teamkultur zu verwechseln.</w:t>
            </w:r>
          </w:p>
        </w:tc>
      </w:tr>
      <w:tr w:rsidR="00D87CB8" w:rsidRPr="00F00F2F" w14:paraId="6191AE99" w14:textId="77777777" w:rsidTr="00D16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 w:type="pct"/>
            <w:vMerge/>
          </w:tcPr>
          <w:p w14:paraId="4E21CA9D" w14:textId="77777777" w:rsidR="00D87CB8" w:rsidRDefault="00D87CB8" w:rsidP="002D2CED">
            <w:pPr>
              <w:rPr>
                <w:sz w:val="20"/>
                <w:szCs w:val="20"/>
              </w:rPr>
            </w:pPr>
          </w:p>
        </w:tc>
        <w:tc>
          <w:tcPr>
            <w:tcW w:w="795" w:type="pct"/>
          </w:tcPr>
          <w:p w14:paraId="0166D217"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Problematisierung</w:t>
            </w:r>
          </w:p>
        </w:tc>
        <w:tc>
          <w:tcPr>
            <w:tcW w:w="1792" w:type="pct"/>
          </w:tcPr>
          <w:p w14:paraId="609662CB"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HINWEIS: Teamkultur ist nicht „Tradition“</w:t>
            </w:r>
          </w:p>
        </w:tc>
        <w:tc>
          <w:tcPr>
            <w:tcW w:w="1793" w:type="pct"/>
          </w:tcPr>
          <w:p w14:paraId="0458E68F" w14:textId="77777777" w:rsidR="00D87CB8" w:rsidRDefault="00D87CB8" w:rsidP="002D2CED">
            <w:pPr>
              <w:cnfStyle w:val="000000100000" w:firstRow="0" w:lastRow="0" w:firstColumn="0" w:lastColumn="0" w:oddVBand="0" w:evenVBand="0" w:oddHBand="1" w:evenHBand="0" w:firstRowFirstColumn="0" w:firstRowLastColumn="0" w:lastRowFirstColumn="0" w:lastRowLastColumn="0"/>
              <w:rPr>
                <w:sz w:val="20"/>
                <w:szCs w:val="20"/>
              </w:rPr>
            </w:pPr>
            <w:r w:rsidRPr="002D4125">
              <w:rPr>
                <w:sz w:val="20"/>
                <w:szCs w:val="20"/>
              </w:rPr>
              <w:t xml:space="preserve">Die Teamkultur umspannt, welche Routinen und unausgesprochenen Regeln und Symboliken Teammitglieder </w:t>
            </w:r>
            <w:r w:rsidRPr="002D4125">
              <w:rPr>
                <w:sz w:val="20"/>
                <w:szCs w:val="20"/>
              </w:rPr>
              <w:lastRenderedPageBreak/>
              <w:t>in der Zusammenarbeit entwickelt haben. Tradition meint hier ein offizielles Miteinander, indem über Hingabe und Bewahrung von Bestehendem offen kommuniziert wird. Traditionen können als ein Teil der Teamkultur gesehen werden.</w:t>
            </w:r>
          </w:p>
        </w:tc>
      </w:tr>
      <w:tr w:rsidR="00D87CB8" w:rsidRPr="00F00F2F" w14:paraId="48DE79F6" w14:textId="77777777" w:rsidTr="00D16F4B">
        <w:tc>
          <w:tcPr>
            <w:cnfStyle w:val="001000000000" w:firstRow="0" w:lastRow="0" w:firstColumn="1" w:lastColumn="0" w:oddVBand="0" w:evenVBand="0" w:oddHBand="0" w:evenHBand="0" w:firstRowFirstColumn="0" w:firstRowLastColumn="0" w:lastRowFirstColumn="0" w:lastRowLastColumn="0"/>
            <w:tcW w:w="620" w:type="pct"/>
          </w:tcPr>
          <w:p w14:paraId="2CE41BB2" w14:textId="77777777" w:rsidR="00D87CB8" w:rsidRDefault="00D87CB8" w:rsidP="002D2CED">
            <w:pPr>
              <w:rPr>
                <w:sz w:val="20"/>
                <w:szCs w:val="20"/>
              </w:rPr>
            </w:pPr>
            <w:r>
              <w:rPr>
                <w:sz w:val="20"/>
                <w:szCs w:val="20"/>
              </w:rPr>
              <w:lastRenderedPageBreak/>
              <w:t>Universalismus</w:t>
            </w:r>
          </w:p>
        </w:tc>
        <w:tc>
          <w:tcPr>
            <w:tcW w:w="795" w:type="pct"/>
          </w:tcPr>
          <w:p w14:paraId="460735A9"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Beschreibung</w:t>
            </w:r>
          </w:p>
        </w:tc>
        <w:tc>
          <w:tcPr>
            <w:tcW w:w="1792" w:type="pct"/>
          </w:tcPr>
          <w:p w14:paraId="1DA25E80" w14:textId="77777777" w:rsidR="00D87CB8" w:rsidRDefault="00D87CB8" w:rsidP="002D2C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Streichung der </w:t>
            </w:r>
            <w:r w:rsidRPr="008C5E21">
              <w:rPr>
                <w:sz w:val="20"/>
                <w:szCs w:val="20"/>
              </w:rPr>
              <w:t>Kategorie </w:t>
            </w:r>
            <w:r w:rsidRPr="008C5E21">
              <w:rPr>
                <w:b/>
                <w:bCs/>
                <w:sz w:val="20"/>
                <w:szCs w:val="20"/>
              </w:rPr>
              <w:t>„Gemeinwohlorientierung – globale Umwelt“</w:t>
            </w:r>
            <w:r w:rsidRPr="008C5E21">
              <w:rPr>
                <w:sz w:val="20"/>
                <w:szCs w:val="20"/>
              </w:rPr>
              <w:t> </w:t>
            </w:r>
            <w:r>
              <w:rPr>
                <w:sz w:val="20"/>
                <w:szCs w:val="20"/>
              </w:rPr>
              <w:t xml:space="preserve"> sowie Anpassung </w:t>
            </w:r>
            <w:r w:rsidRPr="008C5E21">
              <w:rPr>
                <w:b/>
                <w:bCs/>
                <w:sz w:val="20"/>
                <w:szCs w:val="20"/>
              </w:rPr>
              <w:t>„Gemeinwohlorientierung – Toleranz gegenüber allen Menschen“</w:t>
            </w:r>
            <w:r w:rsidRPr="008C5E21">
              <w:rPr>
                <w:sz w:val="20"/>
                <w:szCs w:val="20"/>
              </w:rPr>
              <w:t> </w:t>
            </w:r>
          </w:p>
        </w:tc>
        <w:tc>
          <w:tcPr>
            <w:tcW w:w="1793" w:type="pct"/>
          </w:tcPr>
          <w:p w14:paraId="791020A0" w14:textId="77777777" w:rsidR="00D87CB8" w:rsidRPr="008C5E21" w:rsidRDefault="00D87CB8" w:rsidP="002D2CED">
            <w:pPr>
              <w:tabs>
                <w:tab w:val="left" w:pos="1120"/>
              </w:tabs>
              <w:cnfStyle w:val="000000000000" w:firstRow="0" w:lastRow="0" w:firstColumn="0" w:lastColumn="0" w:oddVBand="0" w:evenVBand="0" w:oddHBand="0" w:evenHBand="0" w:firstRowFirstColumn="0" w:firstRowLastColumn="0" w:lastRowFirstColumn="0" w:lastRowLastColumn="0"/>
              <w:rPr>
                <w:sz w:val="20"/>
                <w:szCs w:val="20"/>
              </w:rPr>
            </w:pPr>
            <w:r w:rsidRPr="008C5E21">
              <w:rPr>
                <w:sz w:val="20"/>
                <w:szCs w:val="20"/>
              </w:rPr>
              <w:t>Die ursprüngliche Kategorie </w:t>
            </w:r>
            <w:r w:rsidRPr="008C5E21">
              <w:rPr>
                <w:b/>
                <w:bCs/>
                <w:sz w:val="20"/>
                <w:szCs w:val="20"/>
              </w:rPr>
              <w:t>„Gemeinwohlorientierung – globale Umwelt“</w:t>
            </w:r>
            <w:r w:rsidRPr="008C5E21">
              <w:rPr>
                <w:sz w:val="20"/>
                <w:szCs w:val="20"/>
              </w:rPr>
              <w:t> wurde gestrichen, weil der Forschungsrahmen auf Wohneinrichtungen der Behindertenhilfe beschränkt ist. In diesem Kontext spielt die globale Umwelt nur eine untergeordnete Rolle, da der Lebensraum der Bewohner*innen und der Handlungsspielraum der Teammitglieder meist auf die Institution begrenzt sind.</w:t>
            </w:r>
          </w:p>
          <w:p w14:paraId="7AC088F1" w14:textId="77777777" w:rsidR="00D87CB8" w:rsidRPr="008C5E21" w:rsidRDefault="00D87CB8" w:rsidP="002D2CED">
            <w:pPr>
              <w:tabs>
                <w:tab w:val="left" w:pos="1120"/>
              </w:tabs>
              <w:cnfStyle w:val="000000000000" w:firstRow="0" w:lastRow="0" w:firstColumn="0" w:lastColumn="0" w:oddVBand="0" w:evenVBand="0" w:oddHBand="0" w:evenHBand="0" w:firstRowFirstColumn="0" w:firstRowLastColumn="0" w:lastRowFirstColumn="0" w:lastRowLastColumn="0"/>
              <w:rPr>
                <w:sz w:val="20"/>
                <w:szCs w:val="20"/>
              </w:rPr>
            </w:pPr>
            <w:r w:rsidRPr="008C5E21">
              <w:rPr>
                <w:sz w:val="20"/>
                <w:szCs w:val="20"/>
              </w:rPr>
              <w:t>Die Kategorie </w:t>
            </w:r>
            <w:r w:rsidRPr="008C5E21">
              <w:rPr>
                <w:b/>
                <w:bCs/>
                <w:sz w:val="20"/>
                <w:szCs w:val="20"/>
              </w:rPr>
              <w:t>„Gemeinwohlorientierung – Toleranz gegenüber allen Menschen“</w:t>
            </w:r>
            <w:r w:rsidRPr="008C5E21">
              <w:rPr>
                <w:sz w:val="20"/>
                <w:szCs w:val="20"/>
              </w:rPr>
              <w:t> wurde hingegen beibehalten und ergänzt: Durch den Bezug auf </w:t>
            </w:r>
            <w:r w:rsidRPr="008C5E21">
              <w:rPr>
                <w:b/>
                <w:bCs/>
                <w:sz w:val="20"/>
                <w:szCs w:val="20"/>
              </w:rPr>
              <w:t>Universalismus</w:t>
            </w:r>
            <w:r w:rsidRPr="008C5E21">
              <w:rPr>
                <w:sz w:val="20"/>
                <w:szCs w:val="20"/>
              </w:rPr>
              <w:t xml:space="preserve"> (Duden-Definition) wurde klargestellt, dass das Allgemeinwohl Vorrang vor Individualinteressen hat und alle Menschen </w:t>
            </w:r>
            <w:proofErr w:type="gramStart"/>
            <w:r w:rsidRPr="008C5E21">
              <w:rPr>
                <w:sz w:val="20"/>
                <w:szCs w:val="20"/>
              </w:rPr>
              <w:t>gleich behandelt</w:t>
            </w:r>
            <w:proofErr w:type="gramEnd"/>
            <w:r w:rsidRPr="008C5E21">
              <w:rPr>
                <w:sz w:val="20"/>
                <w:szCs w:val="20"/>
              </w:rPr>
              <w:t xml:space="preserve"> werden sollen.</w:t>
            </w:r>
          </w:p>
          <w:p w14:paraId="47527844" w14:textId="77777777" w:rsidR="00D87CB8" w:rsidRPr="008C5E21" w:rsidRDefault="00D87CB8" w:rsidP="002D2CED">
            <w:pPr>
              <w:tabs>
                <w:tab w:val="left" w:pos="1120"/>
              </w:tabs>
              <w:cnfStyle w:val="000000000000" w:firstRow="0" w:lastRow="0" w:firstColumn="0" w:lastColumn="0" w:oddVBand="0" w:evenVBand="0" w:oddHBand="0" w:evenHBand="0" w:firstRowFirstColumn="0" w:firstRowLastColumn="0" w:lastRowFirstColumn="0" w:lastRowLastColumn="0"/>
              <w:rPr>
                <w:sz w:val="20"/>
                <w:szCs w:val="20"/>
              </w:rPr>
            </w:pPr>
            <w:r w:rsidRPr="008C5E21">
              <w:rPr>
                <w:b/>
                <w:bCs/>
                <w:sz w:val="20"/>
                <w:szCs w:val="20"/>
              </w:rPr>
              <w:t>Veränderung und Grund</w:t>
            </w:r>
            <w:r w:rsidRPr="008C5E21">
              <w:rPr>
                <w:sz w:val="20"/>
                <w:szCs w:val="20"/>
              </w:rPr>
              <w:t>: Die Anpassung fokussiert die Forschung auf den relevanten, institutionellen Kontext und stärkt die Definition der Gemeinwohlorientierung.</w:t>
            </w:r>
          </w:p>
          <w:p w14:paraId="41DCA624" w14:textId="77777777" w:rsidR="00D87CB8" w:rsidRDefault="00D87CB8" w:rsidP="002D2CED">
            <w:pPr>
              <w:tabs>
                <w:tab w:val="left" w:pos="1120"/>
              </w:tabs>
              <w:cnfStyle w:val="000000000000" w:firstRow="0" w:lastRow="0" w:firstColumn="0" w:lastColumn="0" w:oddVBand="0" w:evenVBand="0" w:oddHBand="0" w:evenHBand="0" w:firstRowFirstColumn="0" w:firstRowLastColumn="0" w:lastRowFirstColumn="0" w:lastRowLastColumn="0"/>
              <w:rPr>
                <w:sz w:val="20"/>
                <w:szCs w:val="20"/>
              </w:rPr>
            </w:pPr>
          </w:p>
        </w:tc>
      </w:tr>
    </w:tbl>
    <w:p w14:paraId="5118D773" w14:textId="77777777" w:rsidR="00D87CB8" w:rsidRDefault="00D87CB8"/>
    <w:sectPr w:rsidR="00D87CB8" w:rsidSect="00D16F4B">
      <w:footerReference w:type="even" r:id="rId6"/>
      <w:footerReference w:type="default" r:id="rId7"/>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CA114" w14:textId="77777777" w:rsidR="00992B8A" w:rsidRDefault="00992B8A" w:rsidP="00D87CB8">
      <w:pPr>
        <w:spacing w:line="240" w:lineRule="auto"/>
      </w:pPr>
      <w:r>
        <w:separator/>
      </w:r>
    </w:p>
  </w:endnote>
  <w:endnote w:type="continuationSeparator" w:id="0">
    <w:p w14:paraId="6FA41977" w14:textId="77777777" w:rsidR="00992B8A" w:rsidRDefault="00992B8A" w:rsidP="00D87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667591850"/>
      <w:docPartObj>
        <w:docPartGallery w:val="Page Numbers (Bottom of Page)"/>
        <w:docPartUnique/>
      </w:docPartObj>
    </w:sdtPr>
    <w:sdtContent>
      <w:p w14:paraId="4E5C651F" w14:textId="22B277FD" w:rsidR="00D16F4B" w:rsidRDefault="00D16F4B" w:rsidP="00215C7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8275B78" w14:textId="77777777" w:rsidR="00D16F4B" w:rsidRDefault="00D16F4B" w:rsidP="00D16F4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2012437295"/>
      <w:docPartObj>
        <w:docPartGallery w:val="Page Numbers (Bottom of Page)"/>
        <w:docPartUnique/>
      </w:docPartObj>
    </w:sdtPr>
    <w:sdtContent>
      <w:p w14:paraId="5D01839A" w14:textId="0B6F3552" w:rsidR="00D16F4B" w:rsidRDefault="00D16F4B" w:rsidP="00215C7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02C86EB" w14:textId="5CCBC522" w:rsidR="00D16F4B" w:rsidRPr="00D16F4B" w:rsidRDefault="00D16F4B" w:rsidP="00D16F4B">
    <w:r>
      <w:t xml:space="preserve">Anhang: </w:t>
    </w:r>
    <w:r w:rsidRPr="00D16F4B">
      <w:t>Übersicht der Anpassungen im Konzepthandbuch zu den Arbeitsphilosophien</w:t>
    </w:r>
  </w:p>
  <w:p w14:paraId="43912D20" w14:textId="77777777" w:rsidR="00D16F4B" w:rsidRDefault="00D16F4B" w:rsidP="00D16F4B">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829E7" w14:textId="77777777" w:rsidR="00992B8A" w:rsidRDefault="00992B8A" w:rsidP="00D87CB8">
      <w:pPr>
        <w:spacing w:line="240" w:lineRule="auto"/>
      </w:pPr>
      <w:r>
        <w:separator/>
      </w:r>
    </w:p>
  </w:footnote>
  <w:footnote w:type="continuationSeparator" w:id="0">
    <w:p w14:paraId="7D8295C4" w14:textId="77777777" w:rsidR="00992B8A" w:rsidRDefault="00992B8A" w:rsidP="00D87CB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CB8"/>
    <w:rsid w:val="00077233"/>
    <w:rsid w:val="001D2A8F"/>
    <w:rsid w:val="00387DFF"/>
    <w:rsid w:val="00627473"/>
    <w:rsid w:val="00697C7A"/>
    <w:rsid w:val="00706AE6"/>
    <w:rsid w:val="008C5ACC"/>
    <w:rsid w:val="00992B8A"/>
    <w:rsid w:val="00C52306"/>
    <w:rsid w:val="00D16F4B"/>
    <w:rsid w:val="00D87C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47A9FB6"/>
  <w15:chartTrackingRefBased/>
  <w15:docId w15:val="{5D23CC1B-0279-0B46-8281-FE1A5DC6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CB8"/>
    <w:pPr>
      <w:spacing w:line="276" w:lineRule="auto"/>
      <w:jc w:val="both"/>
    </w:pPr>
    <w:rPr>
      <w:rFonts w:cs="Times New Roman (Textkörper CS)"/>
      <w:sz w:val="22"/>
    </w:rPr>
  </w:style>
  <w:style w:type="paragraph" w:styleId="berschrift1">
    <w:name w:val="heading 1"/>
    <w:basedOn w:val="Standard"/>
    <w:next w:val="Standard"/>
    <w:link w:val="berschrift1Zchn"/>
    <w:uiPriority w:val="9"/>
    <w:qFormat/>
    <w:rsid w:val="00D87CB8"/>
    <w:pPr>
      <w:keepNext/>
      <w:keepLines/>
      <w:spacing w:before="360" w:after="80" w:line="240" w:lineRule="auto"/>
      <w:jc w:val="left"/>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87CB8"/>
    <w:pPr>
      <w:keepNext/>
      <w:keepLines/>
      <w:spacing w:before="160" w:after="80" w:line="240" w:lineRule="auto"/>
      <w:jc w:val="left"/>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87CB8"/>
    <w:pPr>
      <w:keepNext/>
      <w:keepLines/>
      <w:spacing w:before="160" w:after="80" w:line="240" w:lineRule="auto"/>
      <w:jc w:val="left"/>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87CB8"/>
    <w:pPr>
      <w:keepNext/>
      <w:keepLines/>
      <w:spacing w:before="80" w:after="40" w:line="240" w:lineRule="auto"/>
      <w:jc w:val="left"/>
      <w:outlineLvl w:val="3"/>
    </w:pPr>
    <w:rPr>
      <w:rFonts w:eastAsiaTheme="majorEastAsia" w:cstheme="majorBidi"/>
      <w:i/>
      <w:iCs/>
      <w:color w:val="2F5496" w:themeColor="accent1" w:themeShade="BF"/>
      <w:sz w:val="24"/>
    </w:rPr>
  </w:style>
  <w:style w:type="paragraph" w:styleId="berschrift5">
    <w:name w:val="heading 5"/>
    <w:basedOn w:val="Standard"/>
    <w:next w:val="Standard"/>
    <w:link w:val="berschrift5Zchn"/>
    <w:uiPriority w:val="9"/>
    <w:semiHidden/>
    <w:unhideWhenUsed/>
    <w:qFormat/>
    <w:rsid w:val="00D87CB8"/>
    <w:pPr>
      <w:keepNext/>
      <w:keepLines/>
      <w:spacing w:before="80" w:after="40" w:line="240" w:lineRule="auto"/>
      <w:jc w:val="left"/>
      <w:outlineLvl w:val="4"/>
    </w:pPr>
    <w:rPr>
      <w:rFonts w:eastAsiaTheme="majorEastAsia" w:cstheme="majorBidi"/>
      <w:color w:val="2F5496" w:themeColor="accent1" w:themeShade="BF"/>
      <w:sz w:val="24"/>
    </w:rPr>
  </w:style>
  <w:style w:type="paragraph" w:styleId="berschrift6">
    <w:name w:val="heading 6"/>
    <w:basedOn w:val="Standard"/>
    <w:next w:val="Standard"/>
    <w:link w:val="berschrift6Zchn"/>
    <w:uiPriority w:val="9"/>
    <w:semiHidden/>
    <w:unhideWhenUsed/>
    <w:qFormat/>
    <w:rsid w:val="00D87CB8"/>
    <w:pPr>
      <w:keepNext/>
      <w:keepLines/>
      <w:spacing w:before="40" w:line="240" w:lineRule="auto"/>
      <w:jc w:val="left"/>
      <w:outlineLvl w:val="5"/>
    </w:pPr>
    <w:rPr>
      <w:rFonts w:eastAsiaTheme="majorEastAsia" w:cstheme="majorBidi"/>
      <w:i/>
      <w:iCs/>
      <w:color w:val="595959" w:themeColor="text1" w:themeTint="A6"/>
      <w:sz w:val="24"/>
    </w:rPr>
  </w:style>
  <w:style w:type="paragraph" w:styleId="berschrift7">
    <w:name w:val="heading 7"/>
    <w:basedOn w:val="Standard"/>
    <w:next w:val="Standard"/>
    <w:link w:val="berschrift7Zchn"/>
    <w:uiPriority w:val="9"/>
    <w:semiHidden/>
    <w:unhideWhenUsed/>
    <w:qFormat/>
    <w:rsid w:val="00D87CB8"/>
    <w:pPr>
      <w:keepNext/>
      <w:keepLines/>
      <w:spacing w:before="40" w:line="240" w:lineRule="auto"/>
      <w:jc w:val="left"/>
      <w:outlineLvl w:val="6"/>
    </w:pPr>
    <w:rPr>
      <w:rFonts w:eastAsiaTheme="majorEastAsia" w:cstheme="majorBidi"/>
      <w:color w:val="595959" w:themeColor="text1" w:themeTint="A6"/>
      <w:sz w:val="24"/>
    </w:rPr>
  </w:style>
  <w:style w:type="paragraph" w:styleId="berschrift8">
    <w:name w:val="heading 8"/>
    <w:basedOn w:val="Standard"/>
    <w:next w:val="Standard"/>
    <w:link w:val="berschrift8Zchn"/>
    <w:uiPriority w:val="9"/>
    <w:semiHidden/>
    <w:unhideWhenUsed/>
    <w:qFormat/>
    <w:rsid w:val="00D87CB8"/>
    <w:pPr>
      <w:keepNext/>
      <w:keepLines/>
      <w:spacing w:line="240" w:lineRule="auto"/>
      <w:jc w:val="left"/>
      <w:outlineLvl w:val="7"/>
    </w:pPr>
    <w:rPr>
      <w:rFonts w:eastAsiaTheme="majorEastAsia" w:cstheme="majorBidi"/>
      <w:i/>
      <w:iCs/>
      <w:color w:val="272727" w:themeColor="text1" w:themeTint="D8"/>
      <w:sz w:val="24"/>
    </w:rPr>
  </w:style>
  <w:style w:type="paragraph" w:styleId="berschrift9">
    <w:name w:val="heading 9"/>
    <w:basedOn w:val="Standard"/>
    <w:next w:val="Standard"/>
    <w:link w:val="berschrift9Zchn"/>
    <w:uiPriority w:val="9"/>
    <w:semiHidden/>
    <w:unhideWhenUsed/>
    <w:qFormat/>
    <w:rsid w:val="00D87CB8"/>
    <w:pPr>
      <w:keepNext/>
      <w:keepLines/>
      <w:spacing w:line="240" w:lineRule="auto"/>
      <w:jc w:val="left"/>
      <w:outlineLvl w:val="8"/>
    </w:pPr>
    <w:rPr>
      <w:rFonts w:eastAsiaTheme="majorEastAsia" w:cstheme="majorBidi"/>
      <w:color w:val="272727" w:themeColor="text1" w:themeTint="D8"/>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7CB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87CB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87CB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87CB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87CB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87CB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7CB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7CB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7CB8"/>
    <w:rPr>
      <w:rFonts w:eastAsiaTheme="majorEastAsia" w:cstheme="majorBidi"/>
      <w:color w:val="272727" w:themeColor="text1" w:themeTint="D8"/>
    </w:rPr>
  </w:style>
  <w:style w:type="paragraph" w:styleId="Titel">
    <w:name w:val="Title"/>
    <w:basedOn w:val="Standard"/>
    <w:next w:val="Standard"/>
    <w:link w:val="TitelZchn"/>
    <w:uiPriority w:val="10"/>
    <w:qFormat/>
    <w:rsid w:val="00D87CB8"/>
    <w:pPr>
      <w:spacing w:after="80" w:line="240" w:lineRule="auto"/>
      <w:contextualSpacing/>
      <w:jc w:val="left"/>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7CB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7CB8"/>
    <w:pPr>
      <w:numPr>
        <w:ilvl w:val="1"/>
      </w:numPr>
      <w:spacing w:after="160" w:line="240" w:lineRule="auto"/>
      <w:jc w:val="left"/>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7CB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7CB8"/>
    <w:pPr>
      <w:spacing w:before="160" w:after="160" w:line="240" w:lineRule="auto"/>
      <w:jc w:val="center"/>
    </w:pPr>
    <w:rPr>
      <w:rFonts w:cstheme="minorBidi"/>
      <w:i/>
      <w:iCs/>
      <w:color w:val="404040" w:themeColor="text1" w:themeTint="BF"/>
      <w:sz w:val="24"/>
    </w:rPr>
  </w:style>
  <w:style w:type="character" w:customStyle="1" w:styleId="ZitatZchn">
    <w:name w:val="Zitat Zchn"/>
    <w:basedOn w:val="Absatz-Standardschriftart"/>
    <w:link w:val="Zitat"/>
    <w:uiPriority w:val="29"/>
    <w:rsid w:val="00D87CB8"/>
    <w:rPr>
      <w:i/>
      <w:iCs/>
      <w:color w:val="404040" w:themeColor="text1" w:themeTint="BF"/>
    </w:rPr>
  </w:style>
  <w:style w:type="paragraph" w:styleId="Listenabsatz">
    <w:name w:val="List Paragraph"/>
    <w:basedOn w:val="Standard"/>
    <w:uiPriority w:val="34"/>
    <w:qFormat/>
    <w:rsid w:val="00D87CB8"/>
    <w:pPr>
      <w:spacing w:line="240" w:lineRule="auto"/>
      <w:ind w:left="720"/>
      <w:contextualSpacing/>
      <w:jc w:val="left"/>
    </w:pPr>
    <w:rPr>
      <w:rFonts w:cstheme="minorBidi"/>
      <w:sz w:val="24"/>
    </w:rPr>
  </w:style>
  <w:style w:type="character" w:styleId="IntensiveHervorhebung">
    <w:name w:val="Intense Emphasis"/>
    <w:basedOn w:val="Absatz-Standardschriftart"/>
    <w:uiPriority w:val="21"/>
    <w:qFormat/>
    <w:rsid w:val="00D87CB8"/>
    <w:rPr>
      <w:i/>
      <w:iCs/>
      <w:color w:val="2F5496" w:themeColor="accent1" w:themeShade="BF"/>
    </w:rPr>
  </w:style>
  <w:style w:type="paragraph" w:styleId="IntensivesZitat">
    <w:name w:val="Intense Quote"/>
    <w:basedOn w:val="Standard"/>
    <w:next w:val="Standard"/>
    <w:link w:val="IntensivesZitatZchn"/>
    <w:uiPriority w:val="30"/>
    <w:qFormat/>
    <w:rsid w:val="00D87CB8"/>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cstheme="minorBidi"/>
      <w:i/>
      <w:iCs/>
      <w:color w:val="2F5496" w:themeColor="accent1" w:themeShade="BF"/>
      <w:sz w:val="24"/>
    </w:rPr>
  </w:style>
  <w:style w:type="character" w:customStyle="1" w:styleId="IntensivesZitatZchn">
    <w:name w:val="Intensives Zitat Zchn"/>
    <w:basedOn w:val="Absatz-Standardschriftart"/>
    <w:link w:val="IntensivesZitat"/>
    <w:uiPriority w:val="30"/>
    <w:rsid w:val="00D87CB8"/>
    <w:rPr>
      <w:i/>
      <w:iCs/>
      <w:color w:val="2F5496" w:themeColor="accent1" w:themeShade="BF"/>
    </w:rPr>
  </w:style>
  <w:style w:type="character" w:styleId="IntensiverVerweis">
    <w:name w:val="Intense Reference"/>
    <w:basedOn w:val="Absatz-Standardschriftart"/>
    <w:uiPriority w:val="32"/>
    <w:qFormat/>
    <w:rsid w:val="00D87CB8"/>
    <w:rPr>
      <w:b/>
      <w:bCs/>
      <w:smallCaps/>
      <w:color w:val="2F5496" w:themeColor="accent1" w:themeShade="BF"/>
      <w:spacing w:val="5"/>
    </w:rPr>
  </w:style>
  <w:style w:type="table" w:styleId="Gitternetztabelle5dunkelAkzent3">
    <w:name w:val="Grid Table 5 Dark Accent 3"/>
    <w:basedOn w:val="NormaleTabelle"/>
    <w:uiPriority w:val="50"/>
    <w:rsid w:val="00D87CB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Kopfzeile">
    <w:name w:val="header"/>
    <w:basedOn w:val="Standard"/>
    <w:link w:val="KopfzeileZchn"/>
    <w:uiPriority w:val="99"/>
    <w:unhideWhenUsed/>
    <w:rsid w:val="00D16F4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16F4B"/>
    <w:rPr>
      <w:rFonts w:cs="Times New Roman (Textkörper CS)"/>
      <w:sz w:val="22"/>
    </w:rPr>
  </w:style>
  <w:style w:type="paragraph" w:styleId="Fuzeile">
    <w:name w:val="footer"/>
    <w:basedOn w:val="Standard"/>
    <w:link w:val="FuzeileZchn"/>
    <w:uiPriority w:val="99"/>
    <w:unhideWhenUsed/>
    <w:rsid w:val="00D16F4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16F4B"/>
    <w:rPr>
      <w:rFonts w:cs="Times New Roman (Textkörper CS)"/>
      <w:sz w:val="22"/>
    </w:rPr>
  </w:style>
  <w:style w:type="character" w:styleId="Seitenzahl">
    <w:name w:val="page number"/>
    <w:basedOn w:val="Absatz-Standardschriftart"/>
    <w:uiPriority w:val="99"/>
    <w:semiHidden/>
    <w:unhideWhenUsed/>
    <w:rsid w:val="00D16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1530</Words>
  <Characters>9644</Characters>
  <Application>Microsoft Office Word</Application>
  <DocSecurity>0</DocSecurity>
  <Lines>80</Lines>
  <Paragraphs>22</Paragraphs>
  <ScaleCrop>false</ScaleCrop>
  <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2</cp:revision>
  <dcterms:created xsi:type="dcterms:W3CDTF">2024-12-22T13:18:00Z</dcterms:created>
  <dcterms:modified xsi:type="dcterms:W3CDTF">2025-01-24T12:49:00Z</dcterms:modified>
</cp:coreProperties>
</file>